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55E0A" w14:textId="35DEFD95" w:rsidR="00D94050" w:rsidRPr="00D94050" w:rsidRDefault="00D94050" w:rsidP="00D94050">
      <w:pPr>
        <w:spacing w:after="0" w:line="240" w:lineRule="atLeast"/>
        <w:ind w:left="-567" w:right="-658"/>
        <w:jc w:val="right"/>
        <w:rPr>
          <w:rFonts w:ascii="Gotham Bold" w:eastAsia="Montserrat SemiBold" w:hAnsi="Gotham Bold" w:cs="Montserrat SemiBold"/>
          <w:b/>
          <w:bCs/>
          <w:color w:val="000000" w:themeColor="text1"/>
          <w:sz w:val="16"/>
          <w:szCs w:val="16"/>
        </w:rPr>
      </w:pPr>
      <w:r w:rsidRPr="00D94050">
        <w:rPr>
          <w:rFonts w:ascii="Gotham Bold" w:eastAsia="Montserrat SemiBold" w:hAnsi="Gotham Bold" w:cs="Montserrat SemiBold"/>
          <w:b/>
          <w:bCs/>
          <w:color w:val="000000" w:themeColor="text1"/>
          <w:sz w:val="16"/>
          <w:szCs w:val="16"/>
        </w:rPr>
        <w:t>Metepec, México; a 24 de octubre de 2024</w:t>
      </w:r>
    </w:p>
    <w:p w14:paraId="5545702F" w14:textId="77777777" w:rsidR="00D94050" w:rsidRPr="00D94050" w:rsidRDefault="00D94050" w:rsidP="00D94050">
      <w:pPr>
        <w:spacing w:after="0" w:line="240" w:lineRule="atLeast"/>
        <w:ind w:left="-567" w:right="-658"/>
        <w:jc w:val="right"/>
        <w:rPr>
          <w:rFonts w:ascii="Gotham Bold" w:eastAsia="Montserrat SemiBold" w:hAnsi="Gotham Bold" w:cs="Montserrat SemiBold"/>
          <w:b/>
          <w:bCs/>
          <w:iCs/>
          <w:color w:val="000000" w:themeColor="text1"/>
          <w:sz w:val="16"/>
          <w:szCs w:val="16"/>
        </w:rPr>
      </w:pPr>
      <w:r w:rsidRPr="00D94050">
        <w:rPr>
          <w:rFonts w:ascii="Gotham Bold" w:eastAsia="Montserrat SemiBold" w:hAnsi="Gotham Bold" w:cs="Montserrat SemiBold"/>
          <w:b/>
          <w:bCs/>
          <w:color w:val="000000" w:themeColor="text1"/>
          <w:sz w:val="16"/>
          <w:szCs w:val="16"/>
        </w:rPr>
        <w:t xml:space="preserve">Oficio No.: </w:t>
      </w:r>
      <w:r w:rsidRPr="00D94050">
        <w:rPr>
          <w:rFonts w:ascii="Gotham Bold" w:eastAsia="Montserrat SemiBold" w:hAnsi="Gotham Bold" w:cs="Montserrat SemiBold"/>
          <w:b/>
          <w:bCs/>
          <w:iCs/>
          <w:color w:val="000000" w:themeColor="text1"/>
          <w:sz w:val="16"/>
          <w:szCs w:val="16"/>
        </w:rPr>
        <w:t>206B0110000100S/SP/UT/628/2024</w:t>
      </w:r>
    </w:p>
    <w:p w14:paraId="680A5799" w14:textId="77777777" w:rsidR="00D94050" w:rsidRPr="00D94050" w:rsidRDefault="00D94050" w:rsidP="00D94050">
      <w:pPr>
        <w:spacing w:after="0" w:line="240" w:lineRule="atLeast"/>
        <w:ind w:left="-567" w:right="-658"/>
        <w:jc w:val="right"/>
        <w:rPr>
          <w:rFonts w:ascii="Gotham Bold" w:eastAsia="Montserrat SemiBold" w:hAnsi="Gotham Bold" w:cs="Montserrat SemiBold"/>
          <w:b/>
          <w:bCs/>
          <w:color w:val="000000" w:themeColor="text1"/>
          <w:sz w:val="16"/>
          <w:szCs w:val="16"/>
        </w:rPr>
      </w:pPr>
    </w:p>
    <w:p w14:paraId="6FCF7035" w14:textId="77777777" w:rsidR="00D94050" w:rsidRPr="00D94050" w:rsidRDefault="00D94050" w:rsidP="00D94050">
      <w:pPr>
        <w:spacing w:after="0" w:line="240" w:lineRule="atLeast"/>
        <w:ind w:left="-567" w:right="-658"/>
        <w:jc w:val="both"/>
        <w:rPr>
          <w:rFonts w:ascii="Gotham Bold" w:eastAsia="Times New Roman" w:hAnsi="Gotham Bold" w:cs="Times New Roman"/>
          <w:b/>
          <w:bCs/>
          <w:color w:val="000000" w:themeColor="text1"/>
          <w:sz w:val="24"/>
          <w:szCs w:val="24"/>
        </w:rPr>
      </w:pPr>
      <w:r w:rsidRPr="00D94050">
        <w:rPr>
          <w:rFonts w:ascii="Gotham Bold" w:eastAsia="Times New Roman" w:hAnsi="Gotham Bold" w:cs="Times New Roman"/>
          <w:b/>
          <w:bCs/>
          <w:color w:val="000000" w:themeColor="text1"/>
          <w:sz w:val="24"/>
          <w:szCs w:val="24"/>
        </w:rPr>
        <w:t>C. SOLICITANTE</w:t>
      </w:r>
    </w:p>
    <w:p w14:paraId="0410831D" w14:textId="77777777" w:rsidR="00D94050" w:rsidRPr="00D94050" w:rsidRDefault="00D94050" w:rsidP="00D94050">
      <w:pPr>
        <w:spacing w:after="0" w:line="240" w:lineRule="atLeast"/>
        <w:ind w:left="-567" w:right="-658"/>
        <w:jc w:val="both"/>
        <w:rPr>
          <w:rFonts w:ascii="Gotham Bold" w:eastAsia="Times New Roman" w:hAnsi="Gotham Bold" w:cs="Times New Roman"/>
          <w:b/>
          <w:bCs/>
          <w:color w:val="000000" w:themeColor="text1"/>
          <w:sz w:val="24"/>
          <w:szCs w:val="24"/>
        </w:rPr>
      </w:pPr>
      <w:r w:rsidRPr="00D94050">
        <w:rPr>
          <w:rFonts w:ascii="Gotham Bold" w:eastAsia="Times New Roman" w:hAnsi="Gotham Bold" w:cs="Times New Roman"/>
          <w:b/>
          <w:bCs/>
          <w:color w:val="000000" w:themeColor="text1"/>
          <w:sz w:val="24"/>
          <w:szCs w:val="24"/>
        </w:rPr>
        <w:t xml:space="preserve">P R E S E N T E </w:t>
      </w:r>
    </w:p>
    <w:p w14:paraId="1801ECC3" w14:textId="77777777" w:rsidR="00D94050" w:rsidRPr="00D94050" w:rsidRDefault="00D94050" w:rsidP="00D94050">
      <w:pPr>
        <w:spacing w:after="0" w:line="240" w:lineRule="atLeast"/>
        <w:ind w:left="-567" w:right="-658"/>
        <w:jc w:val="both"/>
        <w:rPr>
          <w:rFonts w:ascii="Gotham" w:hAnsi="Gotham"/>
          <w:bCs/>
          <w:sz w:val="16"/>
          <w:szCs w:val="16"/>
        </w:rPr>
      </w:pPr>
    </w:p>
    <w:p w14:paraId="1CE4BC8C" w14:textId="77777777" w:rsidR="00D94050" w:rsidRPr="00D94050" w:rsidRDefault="00D94050" w:rsidP="00D94050">
      <w:pPr>
        <w:spacing w:after="0" w:line="240" w:lineRule="atLeast"/>
        <w:ind w:left="-567" w:right="-658"/>
        <w:jc w:val="both"/>
        <w:rPr>
          <w:rFonts w:ascii="Gotham" w:hAnsi="Gotham"/>
          <w:bCs/>
          <w:sz w:val="16"/>
          <w:szCs w:val="16"/>
        </w:rPr>
      </w:pPr>
      <w:r w:rsidRPr="00D94050">
        <w:rPr>
          <w:rFonts w:ascii="Gotham" w:hAnsi="Gotham"/>
          <w:b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D94050">
        <w:rPr>
          <w:rFonts w:ascii="Gotham" w:hAnsi="Gotham"/>
          <w:b/>
          <w:sz w:val="16"/>
          <w:szCs w:val="16"/>
        </w:rPr>
        <w:t>00172/SESESP/IP/2024</w:t>
      </w:r>
      <w:r w:rsidRPr="00D94050">
        <w:rPr>
          <w:rFonts w:ascii="Gotham" w:hAnsi="Gotham"/>
          <w:bCs/>
          <w:sz w:val="16"/>
          <w:szCs w:val="16"/>
        </w:rPr>
        <w:t>, recibida y registrada en el Sistema de Acceso a la Información Mexiquense (SAIMEX) de este Sujeto Obligado, el 21 de octubre de 2024, que a la letra dice:</w:t>
      </w:r>
    </w:p>
    <w:p w14:paraId="0E221A2F" w14:textId="77777777" w:rsidR="00D94050" w:rsidRPr="00D94050" w:rsidRDefault="00D94050" w:rsidP="00D94050">
      <w:pPr>
        <w:spacing w:after="0" w:line="240" w:lineRule="atLeast"/>
        <w:ind w:left="-567" w:right="-658"/>
        <w:jc w:val="both"/>
        <w:rPr>
          <w:rFonts w:ascii="Gotham" w:hAnsi="Gotham"/>
          <w:bCs/>
          <w:sz w:val="16"/>
          <w:szCs w:val="16"/>
        </w:rPr>
      </w:pPr>
    </w:p>
    <w:p w14:paraId="4D532FF3"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“En atención a lo señalado en la Recomendación 35/2021 de la CNDH, por este medio solicito atentamente se me informe lo siguiente:</w:t>
      </w:r>
    </w:p>
    <w:p w14:paraId="0B6363EF"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1.- ¿Dentro del Presupuesto de Egresos del Estado de Baja California para el año 2024 se incluyó una partida presupuestaria específica para la adquisición de productos de gestión menstrual para las mujeres privadas de la libertad? En caso de que la respuesta sea positiva, ¿cuál fue el monto asignado? En caso de que la respuesta sea negativa, ¿se considero dentro de otra partida presupuestaria?</w:t>
      </w:r>
    </w:p>
    <w:p w14:paraId="7EFD7574"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2.- ¿se ha llevado a cabo el estudio sobre la viabilidad de la incorporación de copas menstruales dentro de los centros penitenciarios existentes en el Estado?</w:t>
      </w:r>
    </w:p>
    <w:p w14:paraId="5C8FD4BB"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3.- ¿Se ha llevado a cabo el programa de atención a la salud de la gestión menstrual de la mujer dentro de los centros penitenciarios existentes dentro del Estado? En caso de que la respuesta sea afirmativa, ¿cada cuando se han llevado a cabo?</w:t>
      </w:r>
    </w:p>
    <w:p w14:paraId="14E0F1DD"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4.-¿Se han implementado cursos de capacitación al personal de seguridad y custodia y médicos de los establecimientos penitenciarios femeniles con el objeto de que conozcan la importancia y relevancia del respeto al acceso a una gestión menstrual digna y actúen en un marco de respeto hacia con las mujeres privadas de la libertad?</w:t>
      </w:r>
    </w:p>
    <w:p w14:paraId="14AB5C4B"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Cs/>
          <w:i/>
          <w:iCs/>
          <w:sz w:val="16"/>
          <w:szCs w:val="16"/>
        </w:rPr>
        <w:t xml:space="preserve">5.- ¿Se han llevado a cabo las acciones pertinentes y adecuaciones necesarias en los centros penitenciarios especificados con antelación para suministrar agua potable de manera ininterrumpida?” </w:t>
      </w:r>
      <w:r w:rsidRPr="00D94050">
        <w:rPr>
          <w:rFonts w:ascii="Gotham" w:hAnsi="Gotham"/>
          <w:b/>
          <w:bCs/>
          <w:i/>
          <w:iCs/>
          <w:sz w:val="16"/>
          <w:szCs w:val="16"/>
        </w:rPr>
        <w:t>(sic).</w:t>
      </w:r>
    </w:p>
    <w:p w14:paraId="0D0054C8" w14:textId="77777777" w:rsidR="00D94050" w:rsidRPr="00D94050" w:rsidRDefault="00D94050" w:rsidP="00D94050">
      <w:pPr>
        <w:spacing w:after="0" w:line="240" w:lineRule="atLeast"/>
        <w:ind w:left="-567" w:right="-658"/>
        <w:jc w:val="both"/>
        <w:rPr>
          <w:rFonts w:ascii="Gotham" w:hAnsi="Gotham"/>
          <w:bCs/>
          <w:sz w:val="16"/>
          <w:szCs w:val="16"/>
        </w:rPr>
      </w:pPr>
    </w:p>
    <w:p w14:paraId="60C14496" w14:textId="77777777" w:rsidR="00D94050" w:rsidRPr="00D94050" w:rsidRDefault="00D94050" w:rsidP="00D94050">
      <w:pPr>
        <w:spacing w:after="0" w:line="240" w:lineRule="atLeast"/>
        <w:ind w:left="-567" w:right="-658"/>
        <w:jc w:val="both"/>
        <w:rPr>
          <w:rFonts w:ascii="Gotham" w:hAnsi="Gotham"/>
          <w:b/>
          <w:sz w:val="16"/>
          <w:szCs w:val="16"/>
        </w:rPr>
      </w:pPr>
      <w:r w:rsidRPr="00D94050">
        <w:rPr>
          <w:rFonts w:ascii="Gotham" w:hAnsi="Gotham"/>
          <w:b/>
          <w:sz w:val="16"/>
          <w:szCs w:val="16"/>
        </w:rPr>
        <w:t>Competencia:</w:t>
      </w:r>
    </w:p>
    <w:p w14:paraId="717116B7" w14:textId="77777777" w:rsidR="00D94050" w:rsidRPr="00D94050" w:rsidRDefault="00D94050" w:rsidP="00D94050">
      <w:pPr>
        <w:spacing w:after="0" w:line="240" w:lineRule="atLeast"/>
        <w:ind w:left="-567" w:right="-658"/>
        <w:jc w:val="both"/>
        <w:rPr>
          <w:rFonts w:ascii="Gotham" w:hAnsi="Gotham"/>
          <w:bCs/>
          <w:sz w:val="16"/>
          <w:szCs w:val="16"/>
        </w:rPr>
      </w:pPr>
    </w:p>
    <w:p w14:paraId="1A815DB9" w14:textId="77777777" w:rsidR="00D94050" w:rsidRPr="00D94050" w:rsidRDefault="00D94050" w:rsidP="00D94050">
      <w:pPr>
        <w:spacing w:after="0" w:line="240" w:lineRule="atLeast"/>
        <w:ind w:left="-567" w:right="-658"/>
        <w:jc w:val="both"/>
        <w:rPr>
          <w:rFonts w:ascii="Gotham" w:hAnsi="Gotham"/>
          <w:bCs/>
          <w:sz w:val="16"/>
          <w:szCs w:val="16"/>
        </w:rPr>
      </w:pPr>
      <w:r w:rsidRPr="00D94050">
        <w:rPr>
          <w:rFonts w:ascii="Gotham" w:hAnsi="Gotham"/>
          <w:bCs/>
          <w:sz w:val="16"/>
          <w:szCs w:val="16"/>
        </w:rPr>
        <w:t xml:space="preserve">Al respecto, con fundamento en los artículos 1, 4, 53 fracción II y 167 de la Ley de Transparencia y Acceso a la Información Pública del Estado de México y Municipios; 61 de la Ley de Seguridad del Estado de México; 9, 10 y 12 del Reglamento Interior del Secretariado Ejecutivo del Sistema Estatal de Seguridad Pública, me permito informar a Usted, que este Sujeto Obligado es </w:t>
      </w:r>
      <w:r w:rsidRPr="00D94050">
        <w:rPr>
          <w:rFonts w:ascii="Gotham" w:hAnsi="Gotham"/>
          <w:b/>
          <w:sz w:val="16"/>
          <w:szCs w:val="16"/>
        </w:rPr>
        <w:t>incompetente</w:t>
      </w:r>
      <w:r w:rsidRPr="00D94050">
        <w:rPr>
          <w:rFonts w:ascii="Gotham" w:hAnsi="Gotham"/>
          <w:bCs/>
          <w:sz w:val="16"/>
          <w:szCs w:val="16"/>
        </w:rPr>
        <w:t xml:space="preserve"> para dar respuesta a su solicitud, como se expondrá de manera fundada.</w:t>
      </w:r>
    </w:p>
    <w:p w14:paraId="6FF543C4" w14:textId="77777777" w:rsidR="00D94050" w:rsidRPr="00D94050" w:rsidRDefault="00D94050" w:rsidP="00D94050">
      <w:pPr>
        <w:spacing w:after="0" w:line="240" w:lineRule="atLeast"/>
        <w:ind w:left="-567" w:right="-658"/>
        <w:jc w:val="both"/>
        <w:rPr>
          <w:rFonts w:ascii="Gotham" w:hAnsi="Gotham"/>
          <w:bCs/>
          <w:sz w:val="16"/>
          <w:szCs w:val="16"/>
        </w:rPr>
      </w:pPr>
    </w:p>
    <w:p w14:paraId="2F35B3EF" w14:textId="77777777" w:rsidR="00D94050" w:rsidRPr="00D94050" w:rsidRDefault="00D94050" w:rsidP="00D94050">
      <w:pPr>
        <w:spacing w:after="0" w:line="240" w:lineRule="atLeast"/>
        <w:ind w:left="-567" w:right="-658"/>
        <w:jc w:val="both"/>
        <w:rPr>
          <w:rFonts w:ascii="Gotham" w:hAnsi="Gotham"/>
          <w:b/>
          <w:bCs/>
          <w:sz w:val="16"/>
          <w:szCs w:val="16"/>
        </w:rPr>
      </w:pPr>
      <w:r w:rsidRPr="00D94050">
        <w:rPr>
          <w:rFonts w:ascii="Gotham" w:hAnsi="Gotham"/>
          <w:b/>
          <w:bCs/>
          <w:sz w:val="16"/>
          <w:szCs w:val="16"/>
        </w:rPr>
        <w:t>Fundamentación y Motivación:</w:t>
      </w:r>
    </w:p>
    <w:p w14:paraId="3A44A9DF" w14:textId="77777777" w:rsidR="00D94050" w:rsidRPr="00D94050" w:rsidRDefault="00D94050" w:rsidP="00D94050">
      <w:pPr>
        <w:spacing w:after="0" w:line="240" w:lineRule="atLeast"/>
        <w:ind w:left="-567" w:right="-658"/>
        <w:jc w:val="both"/>
        <w:rPr>
          <w:rFonts w:ascii="Gotham" w:hAnsi="Gotham"/>
          <w:b/>
          <w:bCs/>
          <w:sz w:val="16"/>
          <w:szCs w:val="16"/>
        </w:rPr>
      </w:pPr>
    </w:p>
    <w:p w14:paraId="7735A5E0" w14:textId="77777777" w:rsidR="00D94050" w:rsidRPr="00D94050" w:rsidRDefault="00D94050" w:rsidP="00D94050">
      <w:pPr>
        <w:spacing w:after="0" w:line="240" w:lineRule="atLeast"/>
        <w:ind w:left="-567" w:right="-658"/>
        <w:jc w:val="both"/>
        <w:rPr>
          <w:rFonts w:ascii="Gotham" w:hAnsi="Gotham"/>
          <w:b/>
          <w:i/>
          <w:sz w:val="16"/>
          <w:szCs w:val="16"/>
        </w:rPr>
      </w:pPr>
      <w:r w:rsidRPr="00D94050">
        <w:rPr>
          <w:rFonts w:ascii="Gotham" w:hAnsi="Gotham"/>
          <w:b/>
          <w:bCs/>
          <w:i/>
          <w:iCs/>
          <w:sz w:val="16"/>
          <w:szCs w:val="16"/>
        </w:rPr>
        <w:t>“Artículo 167</w:t>
      </w:r>
      <w:r w:rsidRPr="00D94050">
        <w:rPr>
          <w:rFonts w:ascii="Gotham" w:hAnsi="Gotham"/>
          <w:i/>
          <w:iCs/>
          <w:sz w:val="16"/>
          <w:szCs w:val="16"/>
        </w:rPr>
        <w:t xml:space="preserve">. Cuando las unidades de transparencia determinen la </w:t>
      </w:r>
      <w:r w:rsidRPr="00D94050">
        <w:rPr>
          <w:rFonts w:ascii="Gotham" w:hAnsi="Gotham"/>
          <w:b/>
          <w:bCs/>
          <w:i/>
          <w:iCs/>
          <w:sz w:val="16"/>
          <w:szCs w:val="16"/>
        </w:rPr>
        <w:t>notoria incompetencia</w:t>
      </w:r>
      <w:r w:rsidRPr="00D94050">
        <w:rPr>
          <w:rFonts w:ascii="Gotham" w:hAnsi="Gotham"/>
          <w:i/>
          <w:iCs/>
          <w:sz w:val="16"/>
          <w:szCs w:val="16"/>
        </w:rPr>
        <w:t xml:space="preserve"> por parte de los sujetos obligados, dentro del ámbito de aplicación, para atender la solicitud de acceso a la información, </w:t>
      </w:r>
      <w:r w:rsidRPr="00D94050">
        <w:rPr>
          <w:rFonts w:ascii="Gotham" w:hAnsi="Gotham"/>
          <w:b/>
          <w:bCs/>
          <w:i/>
          <w:iCs/>
          <w:sz w:val="16"/>
          <w:szCs w:val="16"/>
        </w:rPr>
        <w:t xml:space="preserve">deberán comunicarlo al solicitante, dentro de los tres días hábiles posteriores a la recepción de la solicitud </w:t>
      </w:r>
      <w:r w:rsidRPr="00D94050">
        <w:rPr>
          <w:rFonts w:ascii="Gotham" w:hAnsi="Gotham"/>
          <w:i/>
          <w:iCs/>
          <w:sz w:val="16"/>
          <w:szCs w:val="16"/>
        </w:rPr>
        <w:t>y, en su caso orientar al solicitante, el o los sujetos obligados competentes.”</w:t>
      </w:r>
      <w:r w:rsidRPr="00D94050">
        <w:rPr>
          <w:rFonts w:ascii="Gotham" w:hAnsi="Gotham"/>
          <w:b/>
          <w:i/>
          <w:sz w:val="16"/>
          <w:szCs w:val="16"/>
        </w:rPr>
        <w:t xml:space="preserve"> (énfasis añadido)</w:t>
      </w:r>
    </w:p>
    <w:p w14:paraId="602988B8" w14:textId="77777777" w:rsidR="00D94050" w:rsidRPr="00D94050" w:rsidRDefault="00D94050" w:rsidP="00D94050">
      <w:pPr>
        <w:spacing w:after="0" w:line="240" w:lineRule="atLeast"/>
        <w:ind w:left="-567" w:right="-658"/>
        <w:jc w:val="both"/>
        <w:rPr>
          <w:rFonts w:ascii="Gotham" w:hAnsi="Gotham"/>
          <w:sz w:val="16"/>
          <w:szCs w:val="16"/>
        </w:rPr>
      </w:pPr>
    </w:p>
    <w:p w14:paraId="346EEEE9" w14:textId="77777777" w:rsidR="00D94050" w:rsidRDefault="00D94050" w:rsidP="00D94050">
      <w:pPr>
        <w:spacing w:after="0" w:line="240" w:lineRule="atLeast"/>
        <w:ind w:left="-567" w:right="-658"/>
        <w:jc w:val="both"/>
        <w:rPr>
          <w:rFonts w:ascii="Gotham" w:hAnsi="Gotham"/>
          <w:sz w:val="16"/>
          <w:szCs w:val="16"/>
        </w:rPr>
      </w:pPr>
      <w:r w:rsidRPr="00D94050">
        <w:rPr>
          <w:rFonts w:ascii="Gotham" w:hAnsi="Gotham"/>
          <w:sz w:val="16"/>
          <w:szCs w:val="16"/>
        </w:rPr>
        <w:t>También el criterio número 13/17 del Instituto Nacional de Transparencia y Acceso a la Información y Protección de Datos Personales (INAI), permite ampliar la interpretación de esta disposición de la materia:</w:t>
      </w:r>
    </w:p>
    <w:p w14:paraId="31B48302" w14:textId="77777777" w:rsidR="00D94050" w:rsidRPr="00D94050" w:rsidRDefault="00D94050" w:rsidP="00D94050">
      <w:pPr>
        <w:spacing w:after="0" w:line="240" w:lineRule="atLeast"/>
        <w:ind w:left="-567" w:right="-658"/>
        <w:jc w:val="both"/>
        <w:rPr>
          <w:rFonts w:ascii="Gotham" w:hAnsi="Gotham"/>
          <w:b/>
          <w:bCs/>
          <w:i/>
          <w:iCs/>
          <w:sz w:val="16"/>
          <w:szCs w:val="16"/>
        </w:rPr>
      </w:pPr>
      <w:r w:rsidRPr="00D94050">
        <w:rPr>
          <w:rFonts w:ascii="Gotham" w:hAnsi="Gotham"/>
          <w:b/>
          <w:bCs/>
          <w:i/>
          <w:iCs/>
          <w:sz w:val="16"/>
          <w:szCs w:val="16"/>
        </w:rPr>
        <w:lastRenderedPageBreak/>
        <w:t xml:space="preserve">“Incompetencia. </w:t>
      </w:r>
      <w:r w:rsidRPr="00D94050">
        <w:rPr>
          <w:rFonts w:ascii="Gotham" w:hAnsi="Gotham"/>
          <w:i/>
          <w:iCs/>
          <w:sz w:val="16"/>
          <w:szCs w:val="16"/>
        </w:rPr>
        <w:t xml:space="preserve">La incompetencia implica la ausencia de atribuciones del sujeto obligado para poseer la información solicitada; es decir, se trata de una cuestión de derecho, en tanto que </w:t>
      </w:r>
      <w:r w:rsidRPr="00D94050">
        <w:rPr>
          <w:rFonts w:ascii="Gotham" w:hAnsi="Gotham"/>
          <w:b/>
          <w:bCs/>
          <w:i/>
          <w:iCs/>
          <w:sz w:val="16"/>
          <w:szCs w:val="16"/>
        </w:rPr>
        <w:t>no existan facultades para contar con lo requerido</w:t>
      </w:r>
      <w:r w:rsidRPr="00D94050">
        <w:rPr>
          <w:rFonts w:ascii="Gotham" w:hAnsi="Gotham"/>
          <w:i/>
          <w:iCs/>
          <w:sz w:val="16"/>
          <w:szCs w:val="16"/>
        </w:rPr>
        <w:t>; por lo que la incompetencia es una cualidad atribuida al sujeto obligado que la declara.</w:t>
      </w:r>
      <w:r w:rsidRPr="00D94050">
        <w:rPr>
          <w:rFonts w:ascii="Gotham" w:hAnsi="Gotham"/>
          <w:b/>
          <w:bCs/>
          <w:i/>
          <w:iCs/>
          <w:sz w:val="16"/>
          <w:szCs w:val="16"/>
        </w:rPr>
        <w:t xml:space="preserve"> </w:t>
      </w:r>
    </w:p>
    <w:p w14:paraId="6BA8CDB7" w14:textId="77777777" w:rsidR="00D94050" w:rsidRPr="00D94050" w:rsidRDefault="00D94050" w:rsidP="00D94050">
      <w:pPr>
        <w:spacing w:after="0" w:line="240" w:lineRule="atLeast"/>
        <w:ind w:left="-567" w:right="-658"/>
        <w:jc w:val="both"/>
        <w:rPr>
          <w:rFonts w:ascii="Gotham" w:hAnsi="Gotham"/>
          <w:b/>
          <w:bCs/>
          <w:i/>
          <w:iCs/>
          <w:sz w:val="16"/>
          <w:szCs w:val="16"/>
        </w:rPr>
      </w:pPr>
      <w:r w:rsidRPr="00D94050">
        <w:rPr>
          <w:rFonts w:ascii="Gotham" w:hAnsi="Gotham"/>
          <w:b/>
          <w:bCs/>
          <w:i/>
          <w:iCs/>
          <w:sz w:val="16"/>
          <w:szCs w:val="16"/>
        </w:rPr>
        <w:t xml:space="preserve">Resoluciones: </w:t>
      </w:r>
    </w:p>
    <w:p w14:paraId="10C09358" w14:textId="77777777" w:rsidR="00D94050" w:rsidRPr="00D94050" w:rsidRDefault="00D94050" w:rsidP="00D94050">
      <w:pPr>
        <w:spacing w:after="0" w:line="240" w:lineRule="atLeast"/>
        <w:ind w:left="-567" w:right="-658"/>
        <w:jc w:val="both"/>
        <w:rPr>
          <w:rFonts w:ascii="Gotham" w:hAnsi="Gotham"/>
          <w:i/>
          <w:iCs/>
          <w:sz w:val="16"/>
          <w:szCs w:val="16"/>
        </w:rPr>
      </w:pPr>
      <w:r w:rsidRPr="00D94050">
        <w:rPr>
          <w:rFonts w:ascii="Gotham" w:hAnsi="Gotham"/>
          <w:b/>
          <w:bCs/>
          <w:i/>
          <w:iCs/>
          <w:sz w:val="16"/>
          <w:szCs w:val="16"/>
        </w:rPr>
        <w:t>• RRA 4437/16.</w:t>
      </w:r>
      <w:r w:rsidRPr="00D94050">
        <w:rPr>
          <w:rFonts w:ascii="Gotham" w:hAnsi="Gotham"/>
          <w:i/>
          <w:iCs/>
          <w:sz w:val="16"/>
          <w:szCs w:val="16"/>
        </w:rPr>
        <w:t xml:space="preserve"> Secretaría de Hacienda y Crédito Público. 25 de enero de 2017. Por unanimidad. Comisionada Ponente Ximena Puente de la Mora.</w:t>
      </w:r>
    </w:p>
    <w:p w14:paraId="46E1559C" w14:textId="77777777" w:rsidR="00D94050" w:rsidRPr="00D94050" w:rsidRDefault="00D94050" w:rsidP="00D94050">
      <w:pPr>
        <w:spacing w:after="0" w:line="240" w:lineRule="atLeast"/>
        <w:ind w:left="-567" w:right="-658"/>
        <w:jc w:val="both"/>
        <w:rPr>
          <w:rFonts w:ascii="Gotham" w:hAnsi="Gotham"/>
          <w:i/>
          <w:iCs/>
          <w:sz w:val="16"/>
          <w:szCs w:val="16"/>
        </w:rPr>
      </w:pPr>
      <w:r w:rsidRPr="00D94050">
        <w:rPr>
          <w:rFonts w:ascii="Gotham" w:hAnsi="Gotham"/>
          <w:b/>
          <w:bCs/>
          <w:i/>
          <w:iCs/>
          <w:sz w:val="16"/>
          <w:szCs w:val="16"/>
        </w:rPr>
        <w:t>• RRA 4401/16</w:t>
      </w:r>
      <w:r w:rsidRPr="00D94050">
        <w:rPr>
          <w:rFonts w:ascii="Gotham" w:hAnsi="Gotham"/>
          <w:i/>
          <w:iCs/>
          <w:sz w:val="16"/>
          <w:szCs w:val="16"/>
        </w:rPr>
        <w:t xml:space="preserve">. Secretaría de Medio Ambiente y Recursos Naturales. 01 de febrero de 2017. Por unanimidad. Comisionado Ponente Rosendoevgueni Monterrey Chepov. </w:t>
      </w:r>
    </w:p>
    <w:p w14:paraId="4D9E15D1" w14:textId="77777777" w:rsidR="00D94050" w:rsidRPr="00D94050" w:rsidRDefault="00D94050" w:rsidP="00D94050">
      <w:pPr>
        <w:spacing w:after="0" w:line="240" w:lineRule="atLeast"/>
        <w:ind w:left="-567" w:right="-658"/>
        <w:jc w:val="both"/>
        <w:rPr>
          <w:rFonts w:ascii="Gotham" w:hAnsi="Gotham"/>
          <w:i/>
          <w:iCs/>
          <w:sz w:val="16"/>
          <w:szCs w:val="16"/>
        </w:rPr>
      </w:pPr>
      <w:r w:rsidRPr="00D94050">
        <w:rPr>
          <w:rFonts w:ascii="Gotham" w:hAnsi="Gotham"/>
          <w:b/>
          <w:bCs/>
          <w:i/>
          <w:iCs/>
          <w:sz w:val="16"/>
          <w:szCs w:val="16"/>
        </w:rPr>
        <w:t>• RRA 0539/17.</w:t>
      </w:r>
      <w:r w:rsidRPr="00D94050">
        <w:rPr>
          <w:rFonts w:ascii="Gotham" w:hAnsi="Gotham"/>
          <w:i/>
          <w:iCs/>
          <w:sz w:val="16"/>
          <w:szCs w:val="16"/>
        </w:rPr>
        <w:t xml:space="preserve"> Secretaría de Economía. 01 de marzo de 2017. Por unanimidad. Comisionado Ponente Joel Salas Suárez.” </w:t>
      </w:r>
      <w:r w:rsidRPr="00D94050">
        <w:rPr>
          <w:rFonts w:ascii="Gotham" w:hAnsi="Gotham"/>
          <w:b/>
          <w:i/>
          <w:sz w:val="16"/>
          <w:szCs w:val="16"/>
        </w:rPr>
        <w:t>(énfasis añadido)</w:t>
      </w:r>
    </w:p>
    <w:p w14:paraId="44B7CC17" w14:textId="77777777" w:rsidR="00D94050" w:rsidRPr="00D94050" w:rsidRDefault="00D94050" w:rsidP="00D94050">
      <w:pPr>
        <w:spacing w:after="0" w:line="240" w:lineRule="atLeast"/>
        <w:ind w:left="-567" w:right="-658"/>
        <w:jc w:val="both"/>
        <w:rPr>
          <w:rFonts w:ascii="Gotham" w:hAnsi="Gotham"/>
          <w:sz w:val="16"/>
          <w:szCs w:val="16"/>
        </w:rPr>
      </w:pPr>
    </w:p>
    <w:p w14:paraId="5A1D6E0A" w14:textId="77777777" w:rsidR="00D94050" w:rsidRPr="00D94050" w:rsidRDefault="00D94050" w:rsidP="00D94050">
      <w:pPr>
        <w:spacing w:after="0" w:line="240" w:lineRule="atLeast"/>
        <w:ind w:left="-567" w:right="-658"/>
        <w:jc w:val="both"/>
        <w:rPr>
          <w:rFonts w:ascii="Gotham" w:hAnsi="Gotham"/>
          <w:sz w:val="16"/>
          <w:szCs w:val="16"/>
        </w:rPr>
      </w:pPr>
      <w:r w:rsidRPr="00D94050">
        <w:rPr>
          <w:rFonts w:ascii="Gotham" w:hAnsi="Gotham"/>
          <w:sz w:val="16"/>
          <w:szCs w:val="16"/>
        </w:rPr>
        <w:t>Así como el artículo 143 de la Constitución Política del Estado Libre y Soberano de México, que a la letra señala:</w:t>
      </w:r>
    </w:p>
    <w:p w14:paraId="36134DC0" w14:textId="77777777" w:rsidR="00D94050" w:rsidRPr="00D94050" w:rsidRDefault="00D94050" w:rsidP="00D94050">
      <w:pPr>
        <w:spacing w:after="0" w:line="240" w:lineRule="atLeast"/>
        <w:ind w:left="-567" w:right="-658"/>
        <w:jc w:val="both"/>
        <w:rPr>
          <w:rFonts w:ascii="Gotham" w:hAnsi="Gotham"/>
          <w:sz w:val="16"/>
          <w:szCs w:val="16"/>
        </w:rPr>
      </w:pPr>
    </w:p>
    <w:p w14:paraId="1D9A899B" w14:textId="77777777" w:rsidR="00D94050" w:rsidRPr="00D94050" w:rsidRDefault="00D94050" w:rsidP="00D94050">
      <w:pPr>
        <w:spacing w:after="0" w:line="240" w:lineRule="atLeast"/>
        <w:ind w:left="-567" w:right="-658"/>
        <w:jc w:val="both"/>
        <w:rPr>
          <w:rFonts w:ascii="Gotham" w:hAnsi="Gotham"/>
          <w:b/>
          <w:i/>
          <w:sz w:val="16"/>
          <w:szCs w:val="16"/>
        </w:rPr>
      </w:pPr>
      <w:r w:rsidRPr="00D94050">
        <w:rPr>
          <w:rFonts w:ascii="Gotham" w:hAnsi="Gotham"/>
          <w:b/>
          <w:bCs/>
          <w:i/>
          <w:iCs/>
          <w:sz w:val="16"/>
          <w:szCs w:val="16"/>
        </w:rPr>
        <w:t>“Artículo 143.-</w:t>
      </w:r>
      <w:r w:rsidRPr="00D94050">
        <w:rPr>
          <w:rFonts w:ascii="Gotham" w:hAnsi="Gotham"/>
          <w:i/>
          <w:iCs/>
          <w:sz w:val="16"/>
          <w:szCs w:val="16"/>
        </w:rPr>
        <w:t xml:space="preserve"> </w:t>
      </w:r>
      <w:r w:rsidRPr="00D94050">
        <w:rPr>
          <w:rFonts w:ascii="Gotham" w:hAnsi="Gotham"/>
          <w:b/>
          <w:bCs/>
          <w:i/>
          <w:iCs/>
          <w:sz w:val="16"/>
          <w:szCs w:val="16"/>
        </w:rPr>
        <w:t>Las autoridades del Estado sólo tienen las facultades que expresamente les confieren las leyes y otros ordenamientos jurídicos.”</w:t>
      </w:r>
      <w:r w:rsidRPr="00D94050">
        <w:rPr>
          <w:rFonts w:ascii="Gotham" w:hAnsi="Gotham"/>
          <w:b/>
          <w:i/>
          <w:sz w:val="16"/>
          <w:szCs w:val="16"/>
        </w:rPr>
        <w:t xml:space="preserve"> (énfasis añadido)</w:t>
      </w:r>
    </w:p>
    <w:p w14:paraId="4C9DC464" w14:textId="77777777" w:rsidR="00D94050" w:rsidRPr="00D94050" w:rsidRDefault="00D94050" w:rsidP="00D94050">
      <w:pPr>
        <w:spacing w:after="0" w:line="240" w:lineRule="atLeast"/>
        <w:ind w:left="-567" w:right="-658"/>
        <w:jc w:val="both"/>
        <w:rPr>
          <w:rFonts w:ascii="Gotham" w:hAnsi="Gotham"/>
          <w:b/>
          <w:bCs/>
          <w:i/>
          <w:iCs/>
          <w:sz w:val="16"/>
          <w:szCs w:val="16"/>
        </w:rPr>
      </w:pPr>
    </w:p>
    <w:p w14:paraId="5B841C4C" w14:textId="77777777" w:rsidR="00D94050" w:rsidRPr="00D94050" w:rsidRDefault="00D94050" w:rsidP="00D94050">
      <w:pPr>
        <w:spacing w:after="0" w:line="240" w:lineRule="atLeast"/>
        <w:ind w:left="-567" w:right="-658"/>
        <w:jc w:val="both"/>
        <w:rPr>
          <w:rFonts w:ascii="Gotham" w:hAnsi="Gotham"/>
          <w:bCs/>
          <w:sz w:val="16"/>
          <w:szCs w:val="16"/>
        </w:rPr>
      </w:pPr>
      <w:r w:rsidRPr="00D94050">
        <w:rPr>
          <w:rFonts w:ascii="Gotham" w:hAnsi="Gotham"/>
          <w:bCs/>
          <w:iCs/>
          <w:sz w:val="16"/>
          <w:szCs w:val="16"/>
        </w:rPr>
        <w:t xml:space="preserve">Una vez analizada su solicitud de información, y derivado de los oficios 206B0113000200L/SVSRF/050/2024 y 206B0111000100L/DGCIE/237/2024, signado por el Subdirector de Vinculación y Seguimiento a los Recursos Federales, y Servidor Público Habilitado Suplente; y la Encargada del Despacho de la Dirección General del Centro de Información y Estadística, y Servidora Pública Habilitada; este Sujeto Obligado </w:t>
      </w:r>
      <w:r w:rsidRPr="00D94050">
        <w:rPr>
          <w:rFonts w:ascii="Gotham" w:hAnsi="Gotham"/>
          <w:bCs/>
          <w:sz w:val="16"/>
          <w:szCs w:val="16"/>
        </w:rPr>
        <w:t xml:space="preserve">es </w:t>
      </w:r>
      <w:r w:rsidRPr="00D94050">
        <w:rPr>
          <w:rFonts w:ascii="Gotham" w:hAnsi="Gotham"/>
          <w:b/>
          <w:bCs/>
          <w:sz w:val="16"/>
          <w:szCs w:val="16"/>
        </w:rPr>
        <w:t>incompetente</w:t>
      </w:r>
      <w:r w:rsidRPr="00D94050">
        <w:rPr>
          <w:rFonts w:ascii="Gotham" w:hAnsi="Gotham"/>
          <w:bCs/>
          <w:sz w:val="16"/>
          <w:szCs w:val="16"/>
        </w:rPr>
        <w:t xml:space="preserve"> para atender su solicitud de información pública.</w:t>
      </w:r>
    </w:p>
    <w:p w14:paraId="763E85FE" w14:textId="77777777" w:rsidR="00D94050" w:rsidRPr="00D94050" w:rsidRDefault="00D94050" w:rsidP="00D94050">
      <w:pPr>
        <w:spacing w:after="0" w:line="240" w:lineRule="atLeast"/>
        <w:ind w:left="-567" w:right="-658"/>
        <w:jc w:val="both"/>
        <w:rPr>
          <w:rFonts w:ascii="Gotham" w:hAnsi="Gotham"/>
          <w:bCs/>
          <w:sz w:val="16"/>
          <w:szCs w:val="16"/>
        </w:rPr>
      </w:pPr>
    </w:p>
    <w:p w14:paraId="57A7612D" w14:textId="77777777" w:rsidR="00D94050" w:rsidRPr="00D94050" w:rsidRDefault="00D94050" w:rsidP="00D94050">
      <w:pPr>
        <w:spacing w:after="0" w:line="240" w:lineRule="atLeast"/>
        <w:ind w:left="-567" w:right="-658"/>
        <w:jc w:val="both"/>
        <w:rPr>
          <w:rFonts w:ascii="Gotham" w:hAnsi="Gotham"/>
          <w:b/>
          <w:sz w:val="16"/>
          <w:szCs w:val="16"/>
        </w:rPr>
      </w:pPr>
      <w:r w:rsidRPr="00D94050">
        <w:rPr>
          <w:rFonts w:ascii="Gotham" w:hAnsi="Gotham"/>
          <w:bCs/>
          <w:sz w:val="16"/>
          <w:szCs w:val="16"/>
        </w:rPr>
        <w:t xml:space="preserve">Lo anterior, con fundamento en los artículos 59, 61 y 63 de la Ley de Seguridad del Estado de México; 9, 10 y 12 del Reglamento Interior del Secretariado Ejecutivo del Sistema Estatal de Seguridad Pública; y, al Manual General de Organización del Secretariado Ejecutivo del Sistema Estatal de Seguridad Pública, </w:t>
      </w:r>
      <w:r w:rsidRPr="00D94050">
        <w:rPr>
          <w:rFonts w:ascii="Gotham" w:hAnsi="Gotham"/>
          <w:b/>
          <w:sz w:val="16"/>
          <w:szCs w:val="16"/>
        </w:rPr>
        <w:t xml:space="preserve">los cuales disponen las atribuciones y funciones </w:t>
      </w:r>
      <w:r w:rsidRPr="00D94050">
        <w:rPr>
          <w:rFonts w:ascii="Gotham" w:hAnsi="Gotham"/>
          <w:bCs/>
          <w:sz w:val="16"/>
          <w:szCs w:val="16"/>
        </w:rPr>
        <w:t xml:space="preserve">de la </w:t>
      </w:r>
      <w:r w:rsidRPr="00D94050">
        <w:rPr>
          <w:rFonts w:ascii="Gotham" w:hAnsi="Gotham"/>
          <w:bCs/>
          <w:iCs/>
          <w:sz w:val="16"/>
          <w:szCs w:val="16"/>
        </w:rPr>
        <w:t xml:space="preserve">Direcciones Generales citadas </w:t>
      </w:r>
      <w:r w:rsidRPr="00D94050">
        <w:rPr>
          <w:rFonts w:ascii="Gotham" w:hAnsi="Gotham"/>
          <w:bCs/>
          <w:sz w:val="16"/>
          <w:szCs w:val="16"/>
        </w:rPr>
        <w:t xml:space="preserve">del Secretariado Ejecutivo del Sistema Estatal de Seguridad Pública; ya que </w:t>
      </w:r>
      <w:r w:rsidRPr="00D94050">
        <w:rPr>
          <w:rFonts w:ascii="Gotham" w:hAnsi="Gotham"/>
          <w:b/>
          <w:sz w:val="16"/>
          <w:szCs w:val="16"/>
        </w:rPr>
        <w:t>este Sujeto Obligado</w:t>
      </w:r>
      <w:r w:rsidRPr="00D94050">
        <w:rPr>
          <w:rFonts w:ascii="Gotham" w:hAnsi="Gotham"/>
          <w:bCs/>
          <w:sz w:val="16"/>
          <w:szCs w:val="16"/>
        </w:rPr>
        <w:t xml:space="preserve"> </w:t>
      </w:r>
      <w:r w:rsidRPr="00D94050">
        <w:rPr>
          <w:rFonts w:ascii="Gotham" w:hAnsi="Gotham"/>
          <w:b/>
          <w:sz w:val="16"/>
          <w:szCs w:val="16"/>
        </w:rPr>
        <w:t>no administra Centros Penitenciarios y de Reinserción Social</w:t>
      </w:r>
      <w:r w:rsidRPr="00D94050">
        <w:rPr>
          <w:rFonts w:ascii="Gotham" w:hAnsi="Gotham"/>
          <w:bCs/>
          <w:sz w:val="16"/>
          <w:szCs w:val="16"/>
        </w:rPr>
        <w:t xml:space="preserve">, </w:t>
      </w:r>
      <w:r w:rsidRPr="00D94050">
        <w:rPr>
          <w:rFonts w:ascii="Gotham" w:hAnsi="Gotham"/>
          <w:b/>
          <w:sz w:val="16"/>
          <w:szCs w:val="16"/>
        </w:rPr>
        <w:t>ni del Estado de México ni de alguna otra entidad federativa.</w:t>
      </w:r>
    </w:p>
    <w:p w14:paraId="4B47D796" w14:textId="77777777" w:rsidR="00D94050" w:rsidRPr="00D94050" w:rsidRDefault="00D94050" w:rsidP="00D94050">
      <w:pPr>
        <w:spacing w:after="0" w:line="240" w:lineRule="atLeast"/>
        <w:ind w:left="-567" w:right="-658"/>
        <w:jc w:val="both"/>
        <w:rPr>
          <w:rFonts w:ascii="Gotham" w:hAnsi="Gotham"/>
          <w:bCs/>
          <w:sz w:val="16"/>
          <w:szCs w:val="16"/>
        </w:rPr>
      </w:pPr>
    </w:p>
    <w:p w14:paraId="1E265FF9" w14:textId="283AD1F6" w:rsidR="00D94050" w:rsidRPr="00D94050" w:rsidRDefault="00D94050" w:rsidP="00D94050">
      <w:pPr>
        <w:spacing w:after="0" w:line="240" w:lineRule="atLeast"/>
        <w:ind w:left="-567" w:right="-658"/>
        <w:jc w:val="both"/>
        <w:rPr>
          <w:rFonts w:ascii="Gotham" w:hAnsi="Gotham"/>
          <w:bCs/>
          <w:sz w:val="16"/>
          <w:szCs w:val="16"/>
        </w:rPr>
      </w:pPr>
      <w:r w:rsidRPr="00D94050">
        <w:rPr>
          <w:rFonts w:ascii="Gotham" w:hAnsi="Gotham"/>
          <w:bCs/>
          <w:sz w:val="16"/>
          <w:szCs w:val="16"/>
        </w:rPr>
        <w:t>Por lo tanto, se cita el fundamento de la Instancia generadora de la información solicitada, que pudieran proporcionarle más información:</w:t>
      </w:r>
    </w:p>
    <w:p w14:paraId="413C9C10" w14:textId="4FDCA3CC" w:rsidR="00D94050" w:rsidRPr="00D94050" w:rsidRDefault="00D94050" w:rsidP="00D94050">
      <w:pPr>
        <w:spacing w:after="0" w:line="240" w:lineRule="atLeast"/>
        <w:ind w:left="-567" w:right="-658"/>
        <w:jc w:val="center"/>
        <w:rPr>
          <w:rFonts w:ascii="Gotham" w:hAnsi="Gotham"/>
          <w:b/>
          <w:i/>
          <w:iCs/>
          <w:sz w:val="16"/>
          <w:szCs w:val="16"/>
        </w:rPr>
      </w:pPr>
      <w:r w:rsidRPr="00D94050">
        <w:rPr>
          <w:rFonts w:ascii="Gotham" w:hAnsi="Gotham"/>
          <w:b/>
          <w:i/>
          <w:iCs/>
          <w:sz w:val="16"/>
          <w:szCs w:val="16"/>
        </w:rPr>
        <w:t>Ley que crea la Comisión Estatal del Sistema Penitenciario de Baja California</w:t>
      </w:r>
    </w:p>
    <w:p w14:paraId="4D3BEC07" w14:textId="77777777" w:rsidR="00D94050" w:rsidRPr="00D94050" w:rsidRDefault="00D94050" w:rsidP="00D94050">
      <w:pPr>
        <w:spacing w:after="0" w:line="240" w:lineRule="atLeast"/>
        <w:ind w:left="-567" w:right="-658"/>
        <w:jc w:val="center"/>
        <w:rPr>
          <w:rFonts w:ascii="Gotham" w:hAnsi="Gotham"/>
          <w:bCs/>
          <w:i/>
          <w:iCs/>
          <w:sz w:val="16"/>
          <w:szCs w:val="16"/>
        </w:rPr>
      </w:pPr>
    </w:p>
    <w:p w14:paraId="0EDA96B2"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“Artículo 1.</w:t>
      </w:r>
      <w:r w:rsidRPr="00D94050">
        <w:rPr>
          <w:rFonts w:ascii="Gotham" w:hAnsi="Gotham"/>
          <w:bCs/>
          <w:i/>
          <w:iCs/>
          <w:sz w:val="16"/>
          <w:szCs w:val="16"/>
        </w:rPr>
        <w:t xml:space="preserve"> Esta Ley es de orden público e interés social y tiene por objeto regular la organización y funcionamiento de la Comisión Estatal del Sistema Penitenciario de Baja California.” </w:t>
      </w:r>
      <w:r w:rsidRPr="00D94050">
        <w:rPr>
          <w:rFonts w:ascii="Gotham" w:eastAsia="Times New Roman" w:hAnsi="Gotham" w:cs="Bw Modelica Cyrillic DEMO"/>
          <w:b/>
          <w:i/>
          <w:iCs/>
          <w:color w:val="000000" w:themeColor="text1"/>
          <w:sz w:val="16"/>
          <w:szCs w:val="16"/>
        </w:rPr>
        <w:t>(énfasis añadido)</w:t>
      </w:r>
    </w:p>
    <w:p w14:paraId="72D3EF72" w14:textId="77777777" w:rsidR="00D94050" w:rsidRPr="00D94050" w:rsidRDefault="00D94050" w:rsidP="00D94050">
      <w:pPr>
        <w:spacing w:after="0" w:line="240" w:lineRule="atLeast"/>
        <w:ind w:left="-567" w:right="-658"/>
        <w:jc w:val="both"/>
        <w:rPr>
          <w:rFonts w:ascii="Gotham" w:hAnsi="Gotham"/>
          <w:bCs/>
          <w:i/>
          <w:iCs/>
          <w:sz w:val="16"/>
          <w:szCs w:val="16"/>
        </w:rPr>
      </w:pPr>
    </w:p>
    <w:p w14:paraId="4795DEE0"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“Artículo 2.</w:t>
      </w:r>
      <w:r w:rsidRPr="00D94050">
        <w:rPr>
          <w:rFonts w:ascii="Gotham" w:hAnsi="Gotham"/>
          <w:bCs/>
          <w:i/>
          <w:iCs/>
          <w:sz w:val="16"/>
          <w:szCs w:val="16"/>
        </w:rPr>
        <w:t xml:space="preserve"> Se crea la Comisión Estatal del Sistema Penitenciario de Baja California, como organismo público descentralizado de la Administración Pública del Estado, con personalidad jurídica, patrimonio propio y autonomía de gestión para el cumplimiento de sus fines.” </w:t>
      </w:r>
      <w:r w:rsidRPr="00D94050">
        <w:rPr>
          <w:rFonts w:ascii="Gotham" w:eastAsia="Times New Roman" w:hAnsi="Gotham" w:cs="Bw Modelica Cyrillic DEMO"/>
          <w:b/>
          <w:i/>
          <w:iCs/>
          <w:color w:val="000000" w:themeColor="text1"/>
          <w:sz w:val="16"/>
          <w:szCs w:val="16"/>
        </w:rPr>
        <w:t>(énfasis añadido)</w:t>
      </w:r>
    </w:p>
    <w:p w14:paraId="5B9417F5" w14:textId="77777777" w:rsidR="00D94050" w:rsidRPr="00D94050" w:rsidRDefault="00D94050" w:rsidP="00D94050">
      <w:pPr>
        <w:spacing w:after="0" w:line="240" w:lineRule="atLeast"/>
        <w:ind w:left="-567" w:right="-658"/>
        <w:jc w:val="both"/>
        <w:rPr>
          <w:rFonts w:ascii="Gotham" w:hAnsi="Gotham"/>
          <w:bCs/>
          <w:i/>
          <w:iCs/>
          <w:sz w:val="16"/>
          <w:szCs w:val="16"/>
        </w:rPr>
      </w:pPr>
    </w:p>
    <w:p w14:paraId="5B67F103"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“Artículo 3.</w:t>
      </w:r>
      <w:r w:rsidRPr="00D94050">
        <w:rPr>
          <w:rFonts w:ascii="Gotham" w:hAnsi="Gotham"/>
          <w:bCs/>
          <w:i/>
          <w:iCs/>
          <w:sz w:val="16"/>
          <w:szCs w:val="16"/>
        </w:rPr>
        <w:t xml:space="preserve"> para los efectos de esta ley, se entenderá por:</w:t>
      </w:r>
    </w:p>
    <w:p w14:paraId="3D95E638" w14:textId="77777777" w:rsidR="00D94050" w:rsidRPr="00D94050" w:rsidRDefault="00D94050" w:rsidP="00D94050">
      <w:pPr>
        <w:spacing w:after="0" w:line="240" w:lineRule="atLeast"/>
        <w:ind w:left="-567" w:right="-658"/>
        <w:jc w:val="both"/>
        <w:rPr>
          <w:rFonts w:ascii="Gotham" w:hAnsi="Gotham"/>
          <w:bCs/>
          <w:i/>
          <w:iCs/>
          <w:sz w:val="16"/>
          <w:szCs w:val="16"/>
        </w:rPr>
      </w:pPr>
    </w:p>
    <w:p w14:paraId="3AADBBED"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w:t>
      </w:r>
      <w:r w:rsidRPr="00D94050">
        <w:rPr>
          <w:rFonts w:ascii="Gotham" w:hAnsi="Gotham"/>
          <w:bCs/>
          <w:i/>
          <w:iCs/>
          <w:sz w:val="16"/>
          <w:szCs w:val="16"/>
        </w:rPr>
        <w:t xml:space="preserve"> El Consejo: Consejo de Desarrollo Policial.</w:t>
      </w:r>
    </w:p>
    <w:p w14:paraId="0069CE82"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II.</w:t>
      </w:r>
      <w:r w:rsidRPr="00D94050">
        <w:rPr>
          <w:rFonts w:ascii="Gotham" w:hAnsi="Gotham"/>
          <w:bCs/>
          <w:i/>
          <w:iCs/>
          <w:sz w:val="16"/>
          <w:szCs w:val="16"/>
        </w:rPr>
        <w:t xml:space="preserve"> El Comisionado: el Titular de la </w:t>
      </w:r>
      <w:r w:rsidRPr="00D94050">
        <w:rPr>
          <w:rFonts w:ascii="Gotham" w:hAnsi="Gotham"/>
          <w:b/>
          <w:i/>
          <w:iCs/>
          <w:sz w:val="16"/>
          <w:szCs w:val="16"/>
        </w:rPr>
        <w:t>Comisión Estatal del Sistema Penitenciario del Estado</w:t>
      </w:r>
      <w:r w:rsidRPr="00D94050">
        <w:rPr>
          <w:rFonts w:ascii="Gotham" w:hAnsi="Gotham"/>
          <w:bCs/>
          <w:i/>
          <w:iCs/>
          <w:sz w:val="16"/>
          <w:szCs w:val="16"/>
        </w:rPr>
        <w:t>.</w:t>
      </w:r>
    </w:p>
    <w:p w14:paraId="5C685AFF"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III.</w:t>
      </w:r>
      <w:r w:rsidRPr="00D94050">
        <w:rPr>
          <w:rFonts w:ascii="Gotham" w:hAnsi="Gotham"/>
          <w:bCs/>
          <w:i/>
          <w:iCs/>
          <w:sz w:val="16"/>
          <w:szCs w:val="16"/>
        </w:rPr>
        <w:t xml:space="preserve"> La Comisión: La </w:t>
      </w:r>
      <w:r w:rsidRPr="00D94050">
        <w:rPr>
          <w:rFonts w:ascii="Gotham" w:hAnsi="Gotham"/>
          <w:b/>
          <w:i/>
          <w:iCs/>
          <w:sz w:val="16"/>
          <w:szCs w:val="16"/>
        </w:rPr>
        <w:t>Comisión Estatal del Sistema Penitenciario de Baja California</w:t>
      </w:r>
      <w:r w:rsidRPr="00D94050">
        <w:rPr>
          <w:rFonts w:ascii="Gotham" w:hAnsi="Gotham"/>
          <w:bCs/>
          <w:i/>
          <w:iCs/>
          <w:sz w:val="16"/>
          <w:szCs w:val="16"/>
        </w:rPr>
        <w:t>.</w:t>
      </w:r>
    </w:p>
    <w:p w14:paraId="52AE2E7D"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IV.</w:t>
      </w:r>
      <w:r w:rsidRPr="00D94050">
        <w:rPr>
          <w:rFonts w:ascii="Gotham" w:hAnsi="Gotham"/>
          <w:bCs/>
          <w:i/>
          <w:iCs/>
          <w:sz w:val="16"/>
          <w:szCs w:val="16"/>
        </w:rPr>
        <w:t xml:space="preserve"> Ley de Ley de Ejecución: Ley Nacional de Ejecución Penal.</w:t>
      </w:r>
    </w:p>
    <w:p w14:paraId="797432C8"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lastRenderedPageBreak/>
        <w:t>V.</w:t>
      </w:r>
      <w:r w:rsidRPr="00D94050">
        <w:rPr>
          <w:rFonts w:ascii="Gotham" w:hAnsi="Gotham"/>
          <w:bCs/>
          <w:i/>
          <w:iCs/>
          <w:sz w:val="16"/>
          <w:szCs w:val="16"/>
        </w:rPr>
        <w:t xml:space="preserve"> Ley de Justicia para Adolescentes: Ley Nacional del Sistema Integral de Justicia Penal para Adolescentes.</w:t>
      </w:r>
    </w:p>
    <w:p w14:paraId="4DD622A2"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VI.</w:t>
      </w:r>
      <w:r w:rsidRPr="00D94050">
        <w:rPr>
          <w:rFonts w:ascii="Gotham" w:hAnsi="Gotham"/>
          <w:bCs/>
          <w:i/>
          <w:iCs/>
          <w:sz w:val="16"/>
          <w:szCs w:val="16"/>
        </w:rPr>
        <w:t xml:space="preserve"> Miembro: Elemento de la Policía Estatal de Seguridad y Custodia Penitenciaria.</w:t>
      </w:r>
    </w:p>
    <w:p w14:paraId="0E6A9549"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VII.</w:t>
      </w:r>
      <w:r w:rsidRPr="00D94050">
        <w:rPr>
          <w:rFonts w:ascii="Gotham" w:hAnsi="Gotham"/>
          <w:bCs/>
          <w:i/>
          <w:iCs/>
          <w:sz w:val="16"/>
          <w:szCs w:val="16"/>
        </w:rPr>
        <w:t xml:space="preserve"> Unidades de Abastecimiento: Las Unidades de Abastecimiento de productos, servicios alimentarios y de higiene que se establezcan en los Centros de Reinserción Social.” </w:t>
      </w:r>
      <w:r w:rsidRPr="00D94050">
        <w:rPr>
          <w:rFonts w:ascii="Gotham" w:eastAsia="Times New Roman" w:hAnsi="Gotham" w:cs="Bw Modelica Cyrillic DEMO"/>
          <w:b/>
          <w:i/>
          <w:iCs/>
          <w:color w:val="000000" w:themeColor="text1"/>
          <w:sz w:val="16"/>
          <w:szCs w:val="16"/>
        </w:rPr>
        <w:t>(énfasis añadido)</w:t>
      </w:r>
    </w:p>
    <w:p w14:paraId="29EDBD5B" w14:textId="77777777" w:rsidR="00D94050" w:rsidRPr="00D94050" w:rsidRDefault="00D94050" w:rsidP="00D94050">
      <w:pPr>
        <w:spacing w:after="0" w:line="240" w:lineRule="atLeast"/>
        <w:ind w:left="-567" w:right="-658"/>
        <w:jc w:val="both"/>
        <w:rPr>
          <w:rFonts w:ascii="Gotham" w:hAnsi="Gotham"/>
          <w:bCs/>
          <w:i/>
          <w:iCs/>
          <w:sz w:val="16"/>
          <w:szCs w:val="16"/>
        </w:rPr>
      </w:pPr>
    </w:p>
    <w:p w14:paraId="20860981"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“Artículo 4.</w:t>
      </w:r>
      <w:r w:rsidRPr="00D94050">
        <w:rPr>
          <w:rFonts w:ascii="Gotham" w:hAnsi="Gotham"/>
          <w:bCs/>
          <w:i/>
          <w:iCs/>
          <w:sz w:val="16"/>
          <w:szCs w:val="16"/>
        </w:rPr>
        <w:t xml:space="preserve"> La Comisión será la autoridad encargada de integrar, operar y administrar el </w:t>
      </w:r>
      <w:r w:rsidRPr="00D94050">
        <w:rPr>
          <w:rFonts w:ascii="Gotham" w:hAnsi="Gotham"/>
          <w:b/>
          <w:i/>
          <w:iCs/>
          <w:sz w:val="16"/>
          <w:szCs w:val="16"/>
        </w:rPr>
        <w:t>Sistema Penitenciario</w:t>
      </w:r>
      <w:r w:rsidRPr="00D94050">
        <w:rPr>
          <w:rFonts w:ascii="Gotham" w:hAnsi="Gotham"/>
          <w:bCs/>
          <w:i/>
          <w:iCs/>
          <w:sz w:val="16"/>
          <w:szCs w:val="16"/>
        </w:rPr>
        <w:t xml:space="preserve">, la cual tiene por objeto la ejecución material de la prisión preventiva, así como de las sanciones y medidas de seguridad previstas en las leyes penales, sobre la base del respeto a los derechos humanos, el trabajo, la capacitación para el mismo, la educación, la salud y el deporte, como medios para procurar la reinserción de las mujeres y hombres sentenciados, a la sociedad y procurar que no vuelva a delinquir.” </w:t>
      </w:r>
      <w:r w:rsidRPr="00D94050">
        <w:rPr>
          <w:rFonts w:ascii="Gotham" w:eastAsia="Times New Roman" w:hAnsi="Gotham" w:cs="Bw Modelica Cyrillic DEMO"/>
          <w:b/>
          <w:i/>
          <w:iCs/>
          <w:color w:val="000000" w:themeColor="text1"/>
          <w:sz w:val="16"/>
          <w:szCs w:val="16"/>
        </w:rPr>
        <w:t>(énfasis añadido)</w:t>
      </w:r>
    </w:p>
    <w:p w14:paraId="51274B3E" w14:textId="77777777" w:rsidR="00D94050" w:rsidRPr="00D94050" w:rsidRDefault="00D94050" w:rsidP="00D94050">
      <w:pPr>
        <w:spacing w:after="0" w:line="240" w:lineRule="atLeast"/>
        <w:ind w:left="-567" w:right="-658"/>
        <w:jc w:val="both"/>
        <w:rPr>
          <w:rFonts w:ascii="Gotham" w:hAnsi="Gotham"/>
          <w:bCs/>
          <w:i/>
          <w:iCs/>
          <w:sz w:val="16"/>
          <w:szCs w:val="16"/>
        </w:rPr>
      </w:pPr>
    </w:p>
    <w:p w14:paraId="6B7E57E5"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“Artículo 5</w:t>
      </w:r>
      <w:r w:rsidRPr="00D94050">
        <w:rPr>
          <w:rFonts w:ascii="Gotham" w:hAnsi="Gotham"/>
          <w:bCs/>
          <w:i/>
          <w:iCs/>
          <w:sz w:val="16"/>
          <w:szCs w:val="16"/>
        </w:rPr>
        <w:t>. Para el cumplimiento de su objeto, la Comisión tendrá las siguientes atribuciones:</w:t>
      </w:r>
    </w:p>
    <w:p w14:paraId="68FEEC3E" w14:textId="77777777" w:rsidR="00D94050" w:rsidRPr="00D94050" w:rsidRDefault="00D94050" w:rsidP="00D94050">
      <w:pPr>
        <w:spacing w:after="0" w:line="240" w:lineRule="atLeast"/>
        <w:ind w:left="-567" w:right="-658"/>
        <w:jc w:val="both"/>
        <w:rPr>
          <w:rFonts w:ascii="Gotham" w:hAnsi="Gotham"/>
          <w:bCs/>
          <w:i/>
          <w:iCs/>
          <w:sz w:val="16"/>
          <w:szCs w:val="16"/>
        </w:rPr>
      </w:pPr>
    </w:p>
    <w:p w14:paraId="16B9F0B3"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w:t>
      </w:r>
      <w:r w:rsidRPr="00D94050">
        <w:rPr>
          <w:rFonts w:ascii="Gotham" w:hAnsi="Gotham"/>
          <w:bCs/>
          <w:i/>
          <w:iCs/>
          <w:sz w:val="16"/>
          <w:szCs w:val="16"/>
        </w:rPr>
        <w:t xml:space="preserve"> Operar y administrar el Sistema Estatal Penitenciario, así como a la </w:t>
      </w:r>
      <w:r w:rsidRPr="00D94050">
        <w:rPr>
          <w:rFonts w:ascii="Gotham" w:hAnsi="Gotham"/>
          <w:b/>
          <w:i/>
          <w:iCs/>
          <w:sz w:val="16"/>
          <w:szCs w:val="16"/>
        </w:rPr>
        <w:t>Autoridad Penitenciaria</w:t>
      </w:r>
      <w:r w:rsidRPr="00D94050">
        <w:rPr>
          <w:rFonts w:ascii="Gotham" w:hAnsi="Gotham"/>
          <w:bCs/>
          <w:i/>
          <w:iCs/>
          <w:sz w:val="16"/>
          <w:szCs w:val="16"/>
        </w:rPr>
        <w:t xml:space="preserve"> y al Supervisor de libertad condicionada a que se refiere la Ley Nacional de Ejecución Penal, así como a la Autoridad Administrativa especializada en la ejecución de medidas para adolescentes, en los términos de la Ley Nacional del Sistema Integral de Justicia Penal para Adolescentes y demás normatividad aplicable;</w:t>
      </w:r>
    </w:p>
    <w:p w14:paraId="7653C543" w14:textId="77777777" w:rsidR="00D94050" w:rsidRPr="00D94050" w:rsidRDefault="00D94050" w:rsidP="00D94050">
      <w:pPr>
        <w:spacing w:after="0" w:line="240" w:lineRule="atLeast"/>
        <w:ind w:left="-567" w:right="-658"/>
        <w:jc w:val="both"/>
        <w:rPr>
          <w:rFonts w:ascii="Gotham" w:hAnsi="Gotham"/>
          <w:bCs/>
          <w:i/>
          <w:iCs/>
          <w:sz w:val="16"/>
          <w:szCs w:val="16"/>
        </w:rPr>
      </w:pPr>
    </w:p>
    <w:p w14:paraId="06C38B10"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II.</w:t>
      </w:r>
      <w:r w:rsidRPr="00D94050">
        <w:rPr>
          <w:rFonts w:ascii="Gotham" w:hAnsi="Gotham"/>
          <w:bCs/>
          <w:i/>
          <w:iCs/>
          <w:sz w:val="16"/>
          <w:szCs w:val="16"/>
        </w:rPr>
        <w:t xml:space="preserve"> Organizar la operación y administración de los </w:t>
      </w:r>
      <w:r w:rsidRPr="00D94050">
        <w:rPr>
          <w:rFonts w:ascii="Gotham" w:hAnsi="Gotham"/>
          <w:b/>
          <w:i/>
          <w:iCs/>
          <w:sz w:val="16"/>
          <w:szCs w:val="16"/>
        </w:rPr>
        <w:t>Centros de Reinserción Social</w:t>
      </w:r>
      <w:r w:rsidRPr="00D94050">
        <w:rPr>
          <w:rFonts w:ascii="Gotham" w:hAnsi="Gotham"/>
          <w:bCs/>
          <w:i/>
          <w:iCs/>
          <w:sz w:val="16"/>
          <w:szCs w:val="16"/>
        </w:rPr>
        <w:t xml:space="preserve"> y de los Centros de Internamiento para Adolescentes en el Estado;</w:t>
      </w:r>
    </w:p>
    <w:p w14:paraId="16BA91B3" w14:textId="77777777" w:rsidR="00D94050" w:rsidRPr="00D94050" w:rsidRDefault="00D94050" w:rsidP="00D94050">
      <w:pPr>
        <w:spacing w:after="0" w:line="240" w:lineRule="atLeast"/>
        <w:ind w:left="-567" w:right="-658"/>
        <w:jc w:val="both"/>
        <w:rPr>
          <w:rFonts w:ascii="Gotham" w:hAnsi="Gotham"/>
          <w:bCs/>
          <w:i/>
          <w:iCs/>
          <w:sz w:val="16"/>
          <w:szCs w:val="16"/>
        </w:rPr>
      </w:pPr>
    </w:p>
    <w:p w14:paraId="0E742BF0" w14:textId="77777777" w:rsidR="00D94050" w:rsidRPr="00D94050" w:rsidRDefault="00D94050" w:rsidP="00D94050">
      <w:pPr>
        <w:spacing w:after="0" w:line="240" w:lineRule="atLeast"/>
        <w:ind w:left="-567" w:right="-658"/>
        <w:jc w:val="both"/>
        <w:rPr>
          <w:rFonts w:ascii="Gotham" w:hAnsi="Gotham"/>
          <w:b/>
          <w:i/>
          <w:iCs/>
          <w:sz w:val="16"/>
          <w:szCs w:val="16"/>
        </w:rPr>
      </w:pPr>
      <w:r w:rsidRPr="00D94050">
        <w:rPr>
          <w:rFonts w:ascii="Gotham" w:hAnsi="Gotham"/>
          <w:b/>
          <w:i/>
          <w:iCs/>
          <w:sz w:val="16"/>
          <w:szCs w:val="16"/>
        </w:rPr>
        <w:t>III. Elaborar un Programa Estatal de Reinserción Social;</w:t>
      </w:r>
    </w:p>
    <w:p w14:paraId="19C65A9A" w14:textId="77777777" w:rsidR="00D94050" w:rsidRPr="00D94050" w:rsidRDefault="00D94050" w:rsidP="00D94050">
      <w:pPr>
        <w:spacing w:after="0" w:line="240" w:lineRule="atLeast"/>
        <w:ind w:left="-567" w:right="-658"/>
        <w:jc w:val="both"/>
        <w:rPr>
          <w:rFonts w:ascii="Gotham" w:hAnsi="Gotham"/>
          <w:bCs/>
          <w:i/>
          <w:iCs/>
          <w:sz w:val="16"/>
          <w:szCs w:val="16"/>
        </w:rPr>
      </w:pPr>
    </w:p>
    <w:p w14:paraId="698E7333"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IV.</w:t>
      </w:r>
      <w:r w:rsidRPr="00D94050">
        <w:rPr>
          <w:rFonts w:ascii="Gotham" w:hAnsi="Gotham"/>
          <w:bCs/>
          <w:i/>
          <w:iCs/>
          <w:sz w:val="16"/>
          <w:szCs w:val="16"/>
        </w:rPr>
        <w:t xml:space="preserve"> Elaborar y expedir las normas técnicas, protocolos y manuales de operación aplicables a los </w:t>
      </w:r>
      <w:r w:rsidRPr="00D94050">
        <w:rPr>
          <w:rFonts w:ascii="Gotham" w:hAnsi="Gotham"/>
          <w:b/>
          <w:i/>
          <w:iCs/>
          <w:sz w:val="16"/>
          <w:szCs w:val="16"/>
        </w:rPr>
        <w:t>Centros de Reinserción Social</w:t>
      </w:r>
      <w:r w:rsidRPr="00D94050">
        <w:rPr>
          <w:rFonts w:ascii="Gotham" w:hAnsi="Gotham"/>
          <w:bCs/>
          <w:i/>
          <w:iCs/>
          <w:sz w:val="16"/>
          <w:szCs w:val="16"/>
        </w:rPr>
        <w:t xml:space="preserve"> y de los Centros de Internamiento para Adolescentes en el Estado;</w:t>
      </w:r>
      <w:r w:rsidRPr="00D94050">
        <w:rPr>
          <w:rFonts w:ascii="Gotham" w:hAnsi="Gotham"/>
          <w:bCs/>
          <w:i/>
          <w:iCs/>
          <w:sz w:val="16"/>
          <w:szCs w:val="16"/>
        </w:rPr>
        <w:cr/>
      </w:r>
    </w:p>
    <w:p w14:paraId="18E660A5"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V.</w:t>
      </w:r>
      <w:r w:rsidRPr="00D94050">
        <w:rPr>
          <w:rFonts w:ascii="Gotham" w:hAnsi="Gotham"/>
          <w:bCs/>
          <w:i/>
          <w:iCs/>
          <w:sz w:val="16"/>
          <w:szCs w:val="16"/>
        </w:rPr>
        <w:t xml:space="preserve"> Garantizar el respeto a los derechos humanos de las mujeres y hombres privados de su libertad en los </w:t>
      </w:r>
      <w:r w:rsidRPr="00D94050">
        <w:rPr>
          <w:rFonts w:ascii="Gotham" w:hAnsi="Gotham"/>
          <w:b/>
          <w:i/>
          <w:iCs/>
          <w:sz w:val="16"/>
          <w:szCs w:val="16"/>
        </w:rPr>
        <w:t>Centros de Reinserción Social</w:t>
      </w:r>
      <w:r w:rsidRPr="00D94050">
        <w:rPr>
          <w:rFonts w:ascii="Gotham" w:hAnsi="Gotham"/>
          <w:bCs/>
          <w:i/>
          <w:iCs/>
          <w:sz w:val="16"/>
          <w:szCs w:val="16"/>
        </w:rPr>
        <w:t xml:space="preserve"> y de los Centros de Internamiento para Adolescentes en el Estado, durante la ejecución de la prisión preventiva o las sanciones penales impuestas, de conformidad con las disposiciones legales aplicables;</w:t>
      </w:r>
    </w:p>
    <w:p w14:paraId="591649BF" w14:textId="77777777" w:rsidR="00D94050" w:rsidRPr="00D94050" w:rsidRDefault="00D94050" w:rsidP="00D94050">
      <w:pPr>
        <w:spacing w:after="0" w:line="240" w:lineRule="atLeast"/>
        <w:ind w:left="-567" w:right="-658"/>
        <w:jc w:val="both"/>
        <w:rPr>
          <w:rFonts w:ascii="Gotham" w:hAnsi="Gotham"/>
          <w:bCs/>
          <w:i/>
          <w:iCs/>
          <w:sz w:val="16"/>
          <w:szCs w:val="16"/>
        </w:rPr>
      </w:pPr>
    </w:p>
    <w:p w14:paraId="4717F9E1"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VI.</w:t>
      </w:r>
      <w:r w:rsidRPr="00D94050">
        <w:rPr>
          <w:rFonts w:ascii="Gotham" w:hAnsi="Gotham"/>
          <w:bCs/>
          <w:i/>
          <w:iCs/>
          <w:sz w:val="16"/>
          <w:szCs w:val="16"/>
        </w:rPr>
        <w:t xml:space="preserve"> Organizar las instalaciones de los </w:t>
      </w:r>
      <w:r w:rsidRPr="00D94050">
        <w:rPr>
          <w:rFonts w:ascii="Gotham" w:hAnsi="Gotham"/>
          <w:b/>
          <w:i/>
          <w:iCs/>
          <w:sz w:val="16"/>
          <w:szCs w:val="16"/>
        </w:rPr>
        <w:t>Centros de Reinserción Social</w:t>
      </w:r>
      <w:r w:rsidRPr="00D94050">
        <w:rPr>
          <w:rFonts w:ascii="Gotham" w:hAnsi="Gotham"/>
          <w:bCs/>
          <w:i/>
          <w:iCs/>
          <w:sz w:val="16"/>
          <w:szCs w:val="16"/>
        </w:rPr>
        <w:t xml:space="preserve"> y de los Centros de Internamiento para Adolescentes en el Estado para mantener la seguridad, tranquilidad e integridad, de las mujeres y hombres privados de su libertad, del personal y de los visitantes, ejerciendo las medidas y acciones pertinentes para el buen funcionamiento, en términos de las disposiciones normativas aplicables;</w:t>
      </w:r>
    </w:p>
    <w:p w14:paraId="7DDA103D" w14:textId="77777777" w:rsidR="00D94050" w:rsidRPr="00D94050" w:rsidRDefault="00D94050" w:rsidP="00D94050">
      <w:pPr>
        <w:spacing w:after="0" w:line="240" w:lineRule="atLeast"/>
        <w:ind w:left="-567" w:right="-658"/>
        <w:jc w:val="both"/>
        <w:rPr>
          <w:rFonts w:ascii="Gotham" w:hAnsi="Gotham"/>
          <w:bCs/>
          <w:i/>
          <w:iCs/>
          <w:sz w:val="16"/>
          <w:szCs w:val="16"/>
        </w:rPr>
      </w:pPr>
    </w:p>
    <w:p w14:paraId="31ADFCC1"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VII</w:t>
      </w:r>
      <w:r w:rsidRPr="00D94050">
        <w:rPr>
          <w:rFonts w:ascii="Gotham" w:hAnsi="Gotham"/>
          <w:bCs/>
          <w:i/>
          <w:iCs/>
          <w:sz w:val="16"/>
          <w:szCs w:val="16"/>
        </w:rPr>
        <w:t>. Procurar la reinserción social efectiva mediante los distintos programas institucionales;</w:t>
      </w:r>
    </w:p>
    <w:p w14:paraId="7AC6570B" w14:textId="77777777" w:rsidR="00D94050" w:rsidRPr="00D94050" w:rsidRDefault="00D94050" w:rsidP="00D94050">
      <w:pPr>
        <w:spacing w:after="0" w:line="240" w:lineRule="atLeast"/>
        <w:ind w:left="-567" w:right="-658"/>
        <w:jc w:val="both"/>
        <w:rPr>
          <w:rFonts w:ascii="Gotham" w:hAnsi="Gotham"/>
          <w:bCs/>
          <w:i/>
          <w:iCs/>
          <w:sz w:val="16"/>
          <w:szCs w:val="16"/>
        </w:rPr>
      </w:pPr>
    </w:p>
    <w:p w14:paraId="26064685" w14:textId="77777777" w:rsidR="00D94050" w:rsidRPr="00D94050" w:rsidRDefault="00D94050" w:rsidP="00D94050">
      <w:pPr>
        <w:spacing w:after="0" w:line="240" w:lineRule="atLeast"/>
        <w:ind w:left="-567" w:right="-658"/>
        <w:jc w:val="both"/>
        <w:rPr>
          <w:rFonts w:ascii="Gotham" w:hAnsi="Gotham"/>
          <w:b/>
          <w:i/>
          <w:iCs/>
          <w:sz w:val="16"/>
          <w:szCs w:val="16"/>
        </w:rPr>
      </w:pPr>
      <w:r w:rsidRPr="00D94050">
        <w:rPr>
          <w:rFonts w:ascii="Gotham" w:hAnsi="Gotham"/>
          <w:b/>
          <w:i/>
          <w:iCs/>
          <w:sz w:val="16"/>
          <w:szCs w:val="16"/>
        </w:rPr>
        <w:t>VIII.</w:t>
      </w:r>
      <w:r w:rsidRPr="00D94050">
        <w:rPr>
          <w:rFonts w:ascii="Gotham" w:hAnsi="Gotham"/>
          <w:bCs/>
          <w:i/>
          <w:iCs/>
          <w:sz w:val="16"/>
          <w:szCs w:val="16"/>
        </w:rPr>
        <w:t xml:space="preserve"> </w:t>
      </w:r>
      <w:r w:rsidRPr="00D94050">
        <w:rPr>
          <w:rFonts w:ascii="Gotham" w:hAnsi="Gotham"/>
          <w:b/>
          <w:i/>
          <w:iCs/>
          <w:sz w:val="16"/>
          <w:szCs w:val="16"/>
        </w:rPr>
        <w:t>Garantizar condiciones de internamiento dignas y seguras acordes al género de las personas privadas de su libertad, conforme a la legislación aplicable;</w:t>
      </w:r>
    </w:p>
    <w:p w14:paraId="59CC2A2A" w14:textId="77777777" w:rsidR="00D94050" w:rsidRPr="00D94050" w:rsidRDefault="00D94050" w:rsidP="00D94050">
      <w:pPr>
        <w:spacing w:after="0" w:line="240" w:lineRule="atLeast"/>
        <w:ind w:left="-567" w:right="-658"/>
        <w:jc w:val="both"/>
        <w:rPr>
          <w:rFonts w:ascii="Gotham" w:hAnsi="Gotham"/>
          <w:bCs/>
          <w:i/>
          <w:iCs/>
          <w:sz w:val="16"/>
          <w:szCs w:val="16"/>
        </w:rPr>
      </w:pPr>
    </w:p>
    <w:p w14:paraId="087A82E6"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IX.</w:t>
      </w:r>
      <w:r w:rsidRPr="00D94050">
        <w:rPr>
          <w:rFonts w:ascii="Gotham" w:hAnsi="Gotham"/>
          <w:bCs/>
          <w:i/>
          <w:iCs/>
          <w:sz w:val="16"/>
          <w:szCs w:val="16"/>
        </w:rPr>
        <w:t xml:space="preserve"> Gestionar la custodia penitenciaria;</w:t>
      </w:r>
    </w:p>
    <w:p w14:paraId="5EFC6BC6" w14:textId="77777777" w:rsidR="00D94050" w:rsidRPr="00D94050" w:rsidRDefault="00D94050" w:rsidP="00D94050">
      <w:pPr>
        <w:spacing w:after="0" w:line="240" w:lineRule="atLeast"/>
        <w:ind w:left="-567" w:right="-658"/>
        <w:jc w:val="both"/>
        <w:rPr>
          <w:rFonts w:ascii="Gotham" w:hAnsi="Gotham"/>
          <w:bCs/>
          <w:i/>
          <w:iCs/>
          <w:sz w:val="16"/>
          <w:szCs w:val="16"/>
        </w:rPr>
      </w:pPr>
    </w:p>
    <w:p w14:paraId="14BF69F1"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w:t>
      </w:r>
      <w:r w:rsidRPr="00D94050">
        <w:rPr>
          <w:rFonts w:ascii="Gotham" w:hAnsi="Gotham"/>
          <w:bCs/>
          <w:i/>
          <w:iCs/>
          <w:sz w:val="16"/>
          <w:szCs w:val="16"/>
        </w:rPr>
        <w:t xml:space="preserve"> Instrumentar una clasificación de las distintas áreas y espacios en los Centros de Reinserción Social y de los Centros de Internamiento para Adolescentes en el Estado, en términos de las disposiciones aplicables;</w:t>
      </w:r>
    </w:p>
    <w:p w14:paraId="0E500251" w14:textId="77777777" w:rsidR="00D94050" w:rsidRPr="00D94050" w:rsidRDefault="00D94050" w:rsidP="00D94050">
      <w:pPr>
        <w:spacing w:after="0" w:line="240" w:lineRule="atLeast"/>
        <w:ind w:left="-567" w:right="-658"/>
        <w:jc w:val="both"/>
        <w:rPr>
          <w:rFonts w:ascii="Gotham" w:hAnsi="Gotham"/>
          <w:bCs/>
          <w:i/>
          <w:iCs/>
          <w:sz w:val="16"/>
          <w:szCs w:val="16"/>
        </w:rPr>
      </w:pPr>
    </w:p>
    <w:p w14:paraId="2E75A702"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lastRenderedPageBreak/>
        <w:t>XI.</w:t>
      </w:r>
      <w:r w:rsidRPr="00D94050">
        <w:rPr>
          <w:rFonts w:ascii="Gotham" w:hAnsi="Gotham"/>
          <w:bCs/>
          <w:i/>
          <w:iCs/>
          <w:sz w:val="16"/>
          <w:szCs w:val="16"/>
        </w:rPr>
        <w:t xml:space="preserve"> Promover la modernización de la infraestructura y determinar las necesidades para la operación del Sistema Penitenciario con perspectiva de género;</w:t>
      </w:r>
    </w:p>
    <w:p w14:paraId="7294B970" w14:textId="77777777" w:rsidR="00D94050" w:rsidRPr="00D94050" w:rsidRDefault="00D94050" w:rsidP="00D94050">
      <w:pPr>
        <w:spacing w:after="0" w:line="240" w:lineRule="atLeast"/>
        <w:ind w:left="-567" w:right="-658"/>
        <w:jc w:val="both"/>
        <w:rPr>
          <w:rFonts w:ascii="Gotham" w:hAnsi="Gotham"/>
          <w:bCs/>
          <w:i/>
          <w:iCs/>
          <w:sz w:val="16"/>
          <w:szCs w:val="16"/>
        </w:rPr>
      </w:pPr>
    </w:p>
    <w:p w14:paraId="4E9AE2FD"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XII.</w:t>
      </w:r>
      <w:r w:rsidRPr="00D94050">
        <w:rPr>
          <w:rFonts w:ascii="Gotham" w:hAnsi="Gotham"/>
          <w:bCs/>
          <w:i/>
          <w:iCs/>
          <w:sz w:val="16"/>
          <w:szCs w:val="16"/>
        </w:rPr>
        <w:t xml:space="preserve"> </w:t>
      </w:r>
      <w:r w:rsidRPr="00D94050">
        <w:rPr>
          <w:rFonts w:ascii="Gotham" w:hAnsi="Gotham"/>
          <w:b/>
          <w:i/>
          <w:iCs/>
          <w:sz w:val="16"/>
          <w:szCs w:val="16"/>
        </w:rPr>
        <w:t>Promover que los Centros de Reinserción Social sean sustentables;</w:t>
      </w:r>
    </w:p>
    <w:p w14:paraId="2702F3EE" w14:textId="77777777" w:rsidR="00D94050" w:rsidRPr="00D94050" w:rsidRDefault="00D94050" w:rsidP="00D94050">
      <w:pPr>
        <w:spacing w:after="0" w:line="240" w:lineRule="atLeast"/>
        <w:ind w:left="-567" w:right="-658"/>
        <w:jc w:val="both"/>
        <w:rPr>
          <w:rFonts w:ascii="Gotham" w:hAnsi="Gotham"/>
          <w:bCs/>
          <w:i/>
          <w:iCs/>
          <w:sz w:val="16"/>
          <w:szCs w:val="16"/>
        </w:rPr>
      </w:pPr>
    </w:p>
    <w:p w14:paraId="3754BA24"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XVII.</w:t>
      </w:r>
      <w:r w:rsidRPr="00D94050">
        <w:rPr>
          <w:rFonts w:ascii="Gotham" w:hAnsi="Gotham"/>
          <w:bCs/>
          <w:i/>
          <w:iCs/>
          <w:sz w:val="16"/>
          <w:szCs w:val="16"/>
        </w:rPr>
        <w:t xml:space="preserve"> Aplicar y supervisar normatividad sobre las medidas de seguridad en los Centros de Reinserción Social y de los Centros de Internamiento para Adolescentes en el Estado, así como aquellos que determinen las disposiciones aplicables;</w:t>
      </w:r>
    </w:p>
    <w:p w14:paraId="4875D843" w14:textId="77777777" w:rsidR="00D94050" w:rsidRPr="00D94050" w:rsidRDefault="00D94050" w:rsidP="00D94050">
      <w:pPr>
        <w:spacing w:after="0" w:line="240" w:lineRule="atLeast"/>
        <w:ind w:left="-567" w:right="-658"/>
        <w:jc w:val="both"/>
        <w:rPr>
          <w:rFonts w:ascii="Gotham" w:hAnsi="Gotham"/>
          <w:bCs/>
          <w:i/>
          <w:iCs/>
          <w:sz w:val="16"/>
          <w:szCs w:val="16"/>
        </w:rPr>
      </w:pPr>
    </w:p>
    <w:p w14:paraId="6BF64C5E"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XVIII.</w:t>
      </w:r>
      <w:r w:rsidRPr="00D94050">
        <w:rPr>
          <w:rFonts w:ascii="Gotham" w:hAnsi="Gotham"/>
          <w:bCs/>
          <w:i/>
          <w:iCs/>
          <w:sz w:val="16"/>
          <w:szCs w:val="16"/>
        </w:rPr>
        <w:t xml:space="preserve"> Prestar la seguridad y custodia de la persona privada de su libertad en los recintos judiciales o en cualquier lugar fuera de los </w:t>
      </w:r>
      <w:r w:rsidRPr="00D94050">
        <w:rPr>
          <w:rFonts w:ascii="Gotham" w:hAnsi="Gotham"/>
          <w:b/>
          <w:i/>
          <w:iCs/>
          <w:sz w:val="16"/>
          <w:szCs w:val="16"/>
        </w:rPr>
        <w:t>Centros de Reinserción Social</w:t>
      </w:r>
      <w:r w:rsidRPr="00D94050">
        <w:rPr>
          <w:rFonts w:ascii="Gotham" w:hAnsi="Gotham"/>
          <w:bCs/>
          <w:i/>
          <w:iCs/>
          <w:sz w:val="16"/>
          <w:szCs w:val="16"/>
        </w:rPr>
        <w:t xml:space="preserve"> y de los Centros de Internamiento para Adolescentes en el Estado a donde se haya autorizado su traslado, de conformidad con las disposiciones aplicables;</w:t>
      </w:r>
    </w:p>
    <w:p w14:paraId="62DC9DAB" w14:textId="77777777" w:rsidR="00D94050" w:rsidRPr="00D94050" w:rsidRDefault="00D94050" w:rsidP="00D94050">
      <w:pPr>
        <w:spacing w:after="0" w:line="240" w:lineRule="atLeast"/>
        <w:ind w:left="-567" w:right="-658"/>
        <w:jc w:val="both"/>
        <w:rPr>
          <w:rFonts w:ascii="Gotham" w:hAnsi="Gotham"/>
          <w:bCs/>
          <w:i/>
          <w:iCs/>
          <w:sz w:val="16"/>
          <w:szCs w:val="16"/>
        </w:rPr>
      </w:pPr>
    </w:p>
    <w:p w14:paraId="44999C23"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XX.</w:t>
      </w:r>
      <w:r w:rsidRPr="00D94050">
        <w:rPr>
          <w:rFonts w:ascii="Gotham" w:hAnsi="Gotham"/>
          <w:bCs/>
          <w:i/>
          <w:iCs/>
          <w:sz w:val="16"/>
          <w:szCs w:val="16"/>
        </w:rPr>
        <w:t xml:space="preserve"> Establecer y administrar los registros fidedignos de información respecto a los Centros de Reinserción Social y de los Centros de Internamiento para Adolescentes en el Estado;</w:t>
      </w:r>
    </w:p>
    <w:p w14:paraId="5407BD96" w14:textId="77777777" w:rsidR="00D94050" w:rsidRPr="00D94050" w:rsidRDefault="00D94050" w:rsidP="00D94050">
      <w:pPr>
        <w:spacing w:after="0" w:line="240" w:lineRule="atLeast"/>
        <w:ind w:left="-567" w:right="-658"/>
        <w:jc w:val="both"/>
        <w:rPr>
          <w:rFonts w:ascii="Gotham" w:hAnsi="Gotham"/>
          <w:bCs/>
          <w:i/>
          <w:iCs/>
          <w:sz w:val="16"/>
          <w:szCs w:val="16"/>
        </w:rPr>
      </w:pPr>
    </w:p>
    <w:p w14:paraId="4800F949"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XXI.</w:t>
      </w:r>
      <w:r w:rsidRPr="00D94050">
        <w:rPr>
          <w:rFonts w:ascii="Gotham" w:hAnsi="Gotham"/>
          <w:bCs/>
          <w:i/>
          <w:iCs/>
          <w:sz w:val="16"/>
          <w:szCs w:val="16"/>
        </w:rPr>
        <w:t xml:space="preserve"> Establecer y administrar una base de datos de personas privadas de la libertad con la información de cada persona que ingrese al Sistema Penitenciario, en los términos de las disposiciones aplicables;</w:t>
      </w:r>
    </w:p>
    <w:p w14:paraId="68683E88" w14:textId="77777777" w:rsidR="00D94050" w:rsidRPr="00D94050" w:rsidRDefault="00D94050" w:rsidP="00D94050">
      <w:pPr>
        <w:spacing w:after="0" w:line="240" w:lineRule="atLeast"/>
        <w:ind w:left="-567" w:right="-658"/>
        <w:jc w:val="both"/>
        <w:rPr>
          <w:rFonts w:ascii="Gotham" w:hAnsi="Gotham"/>
          <w:bCs/>
          <w:i/>
          <w:iCs/>
          <w:sz w:val="16"/>
          <w:szCs w:val="16"/>
        </w:rPr>
      </w:pPr>
    </w:p>
    <w:p w14:paraId="0233DF85"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XXII</w:t>
      </w:r>
      <w:r w:rsidRPr="00D94050">
        <w:rPr>
          <w:rFonts w:ascii="Gotham" w:hAnsi="Gotham"/>
          <w:bCs/>
          <w:i/>
          <w:iCs/>
          <w:sz w:val="16"/>
          <w:szCs w:val="16"/>
        </w:rPr>
        <w:t>. Promover y gestionar la incorporación de proyectos productivos de la iniciativa privada, así como la promoción de mano de obra de las personas privadas de su libertad para su propia activación laboral;</w:t>
      </w:r>
    </w:p>
    <w:p w14:paraId="1B12AB50" w14:textId="77777777" w:rsidR="00D94050" w:rsidRPr="00D94050" w:rsidRDefault="00D94050" w:rsidP="00D94050">
      <w:pPr>
        <w:spacing w:after="0" w:line="240" w:lineRule="atLeast"/>
        <w:ind w:left="-567" w:right="-658"/>
        <w:jc w:val="both"/>
        <w:rPr>
          <w:rFonts w:ascii="Gotham" w:hAnsi="Gotham"/>
          <w:bCs/>
          <w:i/>
          <w:iCs/>
          <w:sz w:val="16"/>
          <w:szCs w:val="16"/>
        </w:rPr>
      </w:pPr>
    </w:p>
    <w:p w14:paraId="3642E62B"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XXIX.</w:t>
      </w:r>
      <w:r w:rsidRPr="00D94050">
        <w:rPr>
          <w:rFonts w:ascii="Gotham" w:hAnsi="Gotham"/>
          <w:bCs/>
          <w:i/>
          <w:iCs/>
          <w:sz w:val="16"/>
          <w:szCs w:val="16"/>
        </w:rPr>
        <w:t xml:space="preserve"> Garantizar el abastecimiento manejo, administración, control vigilancia y seguimiento de las unidades de abastecimientos de productos, servicios alimentarios y de higiene que se establezcan en los Centros de Reinserción Social, y </w:t>
      </w:r>
    </w:p>
    <w:p w14:paraId="3F84E2C0" w14:textId="77777777" w:rsidR="00D94050" w:rsidRPr="00D94050" w:rsidRDefault="00D94050" w:rsidP="00D94050">
      <w:pPr>
        <w:spacing w:after="0" w:line="240" w:lineRule="atLeast"/>
        <w:ind w:left="-567" w:right="-658"/>
        <w:jc w:val="both"/>
        <w:rPr>
          <w:rFonts w:ascii="Gotham" w:hAnsi="Gotham"/>
          <w:bCs/>
          <w:i/>
          <w:iCs/>
          <w:sz w:val="16"/>
          <w:szCs w:val="16"/>
        </w:rPr>
      </w:pPr>
    </w:p>
    <w:p w14:paraId="67FBC580" w14:textId="77777777" w:rsidR="00D94050" w:rsidRPr="00D94050" w:rsidRDefault="00D94050" w:rsidP="00D94050">
      <w:pPr>
        <w:spacing w:after="0" w:line="240" w:lineRule="atLeast"/>
        <w:ind w:left="-567" w:right="-658"/>
        <w:jc w:val="both"/>
        <w:rPr>
          <w:rFonts w:ascii="Gotham" w:hAnsi="Gotham"/>
          <w:bCs/>
          <w:i/>
          <w:iCs/>
          <w:sz w:val="16"/>
          <w:szCs w:val="16"/>
        </w:rPr>
      </w:pPr>
      <w:r w:rsidRPr="00D94050">
        <w:rPr>
          <w:rFonts w:ascii="Gotham" w:hAnsi="Gotham"/>
          <w:b/>
          <w:i/>
          <w:iCs/>
          <w:sz w:val="16"/>
          <w:szCs w:val="16"/>
        </w:rPr>
        <w:t>XXX.</w:t>
      </w:r>
      <w:r w:rsidRPr="00D94050">
        <w:rPr>
          <w:rFonts w:ascii="Gotham" w:hAnsi="Gotham"/>
          <w:bCs/>
          <w:i/>
          <w:iCs/>
          <w:sz w:val="16"/>
          <w:szCs w:val="16"/>
        </w:rPr>
        <w:t xml:space="preserve"> Las demás que establezcan otras disposiciones aplicables.” </w:t>
      </w:r>
      <w:r w:rsidRPr="00D94050">
        <w:rPr>
          <w:rFonts w:ascii="Gotham" w:eastAsia="Times New Roman" w:hAnsi="Gotham" w:cs="Bw Modelica Cyrillic DEMO"/>
          <w:b/>
          <w:i/>
          <w:iCs/>
          <w:color w:val="000000" w:themeColor="text1"/>
          <w:sz w:val="16"/>
          <w:szCs w:val="16"/>
        </w:rPr>
        <w:t>(énfasis añadido)</w:t>
      </w:r>
    </w:p>
    <w:p w14:paraId="295DD045" w14:textId="77777777" w:rsidR="00D94050" w:rsidRPr="00D94050" w:rsidRDefault="00D94050" w:rsidP="00D94050">
      <w:pPr>
        <w:spacing w:after="0" w:line="240" w:lineRule="atLeast"/>
        <w:ind w:left="-567" w:right="-658"/>
        <w:jc w:val="both"/>
        <w:rPr>
          <w:rFonts w:ascii="Gotham" w:hAnsi="Gotham"/>
          <w:b/>
          <w:iCs/>
          <w:sz w:val="16"/>
          <w:szCs w:val="16"/>
        </w:rPr>
      </w:pPr>
      <w:r w:rsidRPr="00D94050">
        <w:rPr>
          <w:rFonts w:ascii="Gotham" w:hAnsi="Gotham"/>
          <w:b/>
          <w:iCs/>
          <w:sz w:val="16"/>
          <w:szCs w:val="16"/>
        </w:rPr>
        <w:t>Orientación:</w:t>
      </w:r>
    </w:p>
    <w:p w14:paraId="0F0B9F1E" w14:textId="77777777" w:rsidR="00D94050" w:rsidRPr="00D94050" w:rsidRDefault="00D94050" w:rsidP="00D94050">
      <w:pPr>
        <w:spacing w:after="0" w:line="240" w:lineRule="atLeast"/>
        <w:ind w:left="-567" w:right="-658"/>
        <w:jc w:val="both"/>
        <w:rPr>
          <w:rFonts w:ascii="Gotham" w:hAnsi="Gotham"/>
          <w:b/>
          <w:iCs/>
          <w:sz w:val="16"/>
          <w:szCs w:val="16"/>
        </w:rPr>
      </w:pPr>
    </w:p>
    <w:p w14:paraId="4BE3F047" w14:textId="6C936D2F" w:rsidR="00D94050" w:rsidRPr="00D94050" w:rsidRDefault="00D94050" w:rsidP="00D94050">
      <w:pPr>
        <w:spacing w:after="0" w:line="240" w:lineRule="atLeast"/>
        <w:ind w:left="-567" w:right="-658"/>
        <w:jc w:val="both"/>
        <w:rPr>
          <w:rFonts w:ascii="Gotham" w:hAnsi="Gotham"/>
          <w:iCs/>
          <w:sz w:val="16"/>
          <w:szCs w:val="16"/>
        </w:rPr>
      </w:pPr>
      <w:r w:rsidRPr="00D94050">
        <w:rPr>
          <w:rFonts w:ascii="Gotham" w:hAnsi="Gotham"/>
          <w:iCs/>
          <w:sz w:val="16"/>
          <w:szCs w:val="16"/>
        </w:rPr>
        <w:t xml:space="preserve">Se le orienta en el sentido de que la información señalada pudiere ser proporcionada por </w:t>
      </w:r>
      <w:r w:rsidRPr="00D94050">
        <w:rPr>
          <w:rFonts w:ascii="Gotham" w:hAnsi="Gotham"/>
          <w:b/>
          <w:bCs/>
          <w:iCs/>
          <w:sz w:val="16"/>
          <w:szCs w:val="16"/>
        </w:rPr>
        <w:t>la Comisión Estatal del Sistema Penitenciario del Estado de Baja California</w:t>
      </w:r>
      <w:r w:rsidRPr="00D94050">
        <w:rPr>
          <w:rFonts w:ascii="Gotham" w:hAnsi="Gotham"/>
          <w:bCs/>
          <w:iCs/>
          <w:sz w:val="16"/>
          <w:szCs w:val="16"/>
        </w:rPr>
        <w:t xml:space="preserve">, </w:t>
      </w:r>
      <w:r w:rsidRPr="00D94050">
        <w:rPr>
          <w:rFonts w:ascii="Gotham" w:hAnsi="Gotham"/>
          <w:iCs/>
          <w:sz w:val="16"/>
          <w:szCs w:val="16"/>
        </w:rPr>
        <w:t>por lo que de manera respetuosa se sugiere ingrese su solicitud:</w:t>
      </w:r>
    </w:p>
    <w:p w14:paraId="0285BE58" w14:textId="77777777" w:rsidR="00D94050" w:rsidRPr="00D94050" w:rsidRDefault="00D94050" w:rsidP="00D94050">
      <w:pPr>
        <w:spacing w:after="0" w:line="240" w:lineRule="atLeast"/>
        <w:ind w:left="-567" w:right="-658"/>
        <w:jc w:val="both"/>
        <w:rPr>
          <w:rFonts w:ascii="Gotham" w:hAnsi="Gotham"/>
          <w:b/>
          <w:bCs/>
          <w:iCs/>
          <w:sz w:val="16"/>
          <w:szCs w:val="16"/>
        </w:rPr>
      </w:pPr>
    </w:p>
    <w:p w14:paraId="5FE3F4AF" w14:textId="77777777" w:rsidR="00D94050" w:rsidRPr="00D94050" w:rsidRDefault="00D94050" w:rsidP="00D94050">
      <w:pPr>
        <w:pStyle w:val="Prrafodelista"/>
        <w:numPr>
          <w:ilvl w:val="0"/>
          <w:numId w:val="3"/>
        </w:numPr>
        <w:spacing w:after="0" w:line="240" w:lineRule="atLeast"/>
        <w:ind w:right="-658"/>
        <w:jc w:val="both"/>
        <w:rPr>
          <w:rFonts w:ascii="Gotham" w:hAnsi="Gotham"/>
          <w:bCs/>
          <w:sz w:val="16"/>
          <w:szCs w:val="16"/>
        </w:rPr>
      </w:pPr>
      <w:r w:rsidRPr="00D94050">
        <w:rPr>
          <w:rFonts w:ascii="Gotham" w:hAnsi="Gotham"/>
          <w:iCs/>
          <w:sz w:val="16"/>
          <w:szCs w:val="16"/>
        </w:rPr>
        <w:t>De manera electrónica a través de la</w:t>
      </w:r>
      <w:r w:rsidRPr="00D94050">
        <w:rPr>
          <w:rFonts w:ascii="Gotham" w:hAnsi="Gotham"/>
          <w:bCs/>
          <w:iCs/>
          <w:sz w:val="16"/>
          <w:szCs w:val="16"/>
        </w:rPr>
        <w:t xml:space="preserve"> Plataforma Nacional de Transparencia, y de manera personal ante la Unidad de Transparencia de la </w:t>
      </w:r>
      <w:r w:rsidRPr="00D94050">
        <w:rPr>
          <w:rFonts w:ascii="Gotham" w:hAnsi="Gotham"/>
          <w:b/>
          <w:bCs/>
          <w:iCs/>
          <w:sz w:val="16"/>
          <w:szCs w:val="16"/>
        </w:rPr>
        <w:t xml:space="preserve">Comisión Estatal del Sistema Penitenciario del Estado de Baja California, </w:t>
      </w:r>
      <w:r w:rsidRPr="00D94050">
        <w:rPr>
          <w:rFonts w:ascii="Gotham" w:hAnsi="Gotham"/>
          <w:iCs/>
          <w:sz w:val="16"/>
          <w:szCs w:val="16"/>
        </w:rPr>
        <w:t xml:space="preserve">ubicado en </w:t>
      </w:r>
      <w:r w:rsidRPr="00D94050">
        <w:rPr>
          <w:rFonts w:ascii="Gotham" w:hAnsi="Gotham"/>
          <w:bCs/>
          <w:sz w:val="16"/>
          <w:szCs w:val="16"/>
        </w:rPr>
        <w:t>Boulevard Benito Juárez, número exterior 1298, número interior 1990, Colonia Jardines del Valle, Municipio Mexicali, Baja California, Código Postal 21270, teléfono 686 837 3900 extensiones 19141 y 19105, en un horario de atención de 08:00 a 17:00 horas, en días hábiles, y correo electrónico oficial: transparencia@cesispe.gob.mx</w:t>
      </w:r>
    </w:p>
    <w:p w14:paraId="472EB8B0" w14:textId="77777777" w:rsidR="00D94050" w:rsidRPr="00D94050" w:rsidRDefault="00D94050" w:rsidP="00D94050">
      <w:pPr>
        <w:spacing w:after="0" w:line="240" w:lineRule="atLeast"/>
        <w:ind w:left="-567" w:right="-658"/>
        <w:jc w:val="both"/>
        <w:rPr>
          <w:rFonts w:ascii="Gotham" w:hAnsi="Gotham"/>
          <w:bCs/>
          <w:sz w:val="16"/>
          <w:szCs w:val="16"/>
        </w:rPr>
      </w:pPr>
    </w:p>
    <w:p w14:paraId="5441F08D" w14:textId="77777777" w:rsidR="00D94050" w:rsidRPr="00D94050" w:rsidRDefault="00D94050" w:rsidP="00D94050">
      <w:pPr>
        <w:spacing w:after="0" w:line="240" w:lineRule="atLeast"/>
        <w:ind w:left="-567" w:right="-658"/>
        <w:jc w:val="both"/>
        <w:rPr>
          <w:rFonts w:ascii="Gotham" w:hAnsi="Gotham"/>
          <w:bCs/>
          <w:sz w:val="16"/>
          <w:szCs w:val="16"/>
        </w:rPr>
      </w:pPr>
      <w:r w:rsidRPr="00D94050">
        <w:rPr>
          <w:rFonts w:ascii="Gotham" w:hAnsi="Gotham"/>
          <w:bCs/>
          <w:sz w:val="16"/>
          <w:szCs w:val="16"/>
        </w:rPr>
        <w:t>Sin otro particular, reciba un cordial saludo.</w:t>
      </w:r>
    </w:p>
    <w:p w14:paraId="680651D4" w14:textId="77777777" w:rsidR="00D94050" w:rsidRPr="00D94050" w:rsidRDefault="00D94050" w:rsidP="00D94050">
      <w:pPr>
        <w:spacing w:after="0" w:line="240" w:lineRule="atLeast"/>
        <w:ind w:left="-567" w:right="-658"/>
        <w:rPr>
          <w:rFonts w:ascii="Gotham" w:hAnsi="Gotham"/>
          <w:bCs/>
          <w:sz w:val="16"/>
          <w:szCs w:val="16"/>
        </w:rPr>
      </w:pPr>
    </w:p>
    <w:p w14:paraId="557E1080" w14:textId="77777777" w:rsidR="00D94050" w:rsidRPr="00D94050" w:rsidRDefault="00D94050" w:rsidP="00D94050">
      <w:pPr>
        <w:spacing w:after="0" w:line="240" w:lineRule="atLeast"/>
        <w:ind w:left="-567" w:right="-658"/>
        <w:rPr>
          <w:rFonts w:ascii="Gotham Bold" w:hAnsi="Gotham Bold"/>
          <w:b/>
          <w:sz w:val="16"/>
          <w:szCs w:val="16"/>
          <w:lang w:val="de-DE"/>
        </w:rPr>
      </w:pPr>
      <w:r w:rsidRPr="00D94050">
        <w:rPr>
          <w:rFonts w:ascii="Gotham Bold" w:hAnsi="Gotham Bold"/>
          <w:b/>
          <w:sz w:val="16"/>
          <w:szCs w:val="16"/>
          <w:lang w:val="de-DE"/>
        </w:rPr>
        <w:t>A T E N T A M E N T E</w:t>
      </w:r>
    </w:p>
    <w:p w14:paraId="38F844B9" w14:textId="77777777" w:rsidR="00D94050" w:rsidRDefault="00D94050" w:rsidP="00D94050">
      <w:pPr>
        <w:spacing w:after="0" w:line="240" w:lineRule="atLeast"/>
        <w:ind w:left="-567" w:right="-658"/>
        <w:rPr>
          <w:rFonts w:ascii="Gotham Bold" w:hAnsi="Gotham Bold"/>
          <w:bCs/>
          <w:sz w:val="16"/>
          <w:szCs w:val="16"/>
          <w:lang w:val="de-DE"/>
        </w:rPr>
      </w:pPr>
    </w:p>
    <w:p w14:paraId="78F8C6DF" w14:textId="77777777" w:rsidR="00D94050" w:rsidRPr="00D94050" w:rsidRDefault="00D94050" w:rsidP="00D94050">
      <w:pPr>
        <w:spacing w:after="0" w:line="240" w:lineRule="atLeast"/>
        <w:ind w:left="-567" w:right="-658"/>
        <w:rPr>
          <w:rFonts w:ascii="Gotham Bold" w:hAnsi="Gotham Bold"/>
          <w:bCs/>
          <w:sz w:val="16"/>
          <w:szCs w:val="16"/>
          <w:lang w:val="de-DE"/>
        </w:rPr>
      </w:pPr>
    </w:p>
    <w:p w14:paraId="27713165" w14:textId="77777777" w:rsidR="00D94050" w:rsidRPr="00D94050" w:rsidRDefault="00D94050" w:rsidP="00D94050">
      <w:pPr>
        <w:spacing w:after="0" w:line="240" w:lineRule="auto"/>
        <w:ind w:left="-567" w:right="-658"/>
        <w:rPr>
          <w:rFonts w:ascii="Gotham Bold" w:hAnsi="Gotham Bold"/>
          <w:b/>
          <w:bCs/>
          <w:iCs/>
          <w:sz w:val="16"/>
          <w:szCs w:val="16"/>
        </w:rPr>
      </w:pPr>
      <w:r w:rsidRPr="00D94050">
        <w:rPr>
          <w:rFonts w:ascii="Gotham Bold" w:hAnsi="Gotham Bold"/>
          <w:b/>
          <w:bCs/>
          <w:iCs/>
          <w:sz w:val="16"/>
          <w:szCs w:val="16"/>
        </w:rPr>
        <w:t>LIC. JOSÉ RUBÉN MEJÍA DUQUE</w:t>
      </w:r>
    </w:p>
    <w:p w14:paraId="3C80AE68" w14:textId="77777777" w:rsidR="00D94050" w:rsidRPr="00D94050" w:rsidRDefault="00D94050" w:rsidP="00D94050">
      <w:pPr>
        <w:spacing w:after="0" w:line="240" w:lineRule="auto"/>
        <w:ind w:left="-567" w:right="-658"/>
        <w:rPr>
          <w:rFonts w:ascii="Gotham Bold" w:hAnsi="Gotham Bold"/>
          <w:b/>
          <w:bCs/>
          <w:iCs/>
          <w:sz w:val="16"/>
          <w:szCs w:val="16"/>
        </w:rPr>
      </w:pPr>
      <w:r w:rsidRPr="00D94050">
        <w:rPr>
          <w:rFonts w:ascii="Gotham Bold" w:hAnsi="Gotham Bold"/>
          <w:b/>
          <w:bCs/>
          <w:iCs/>
          <w:sz w:val="16"/>
          <w:szCs w:val="16"/>
        </w:rPr>
        <w:t>TITULAR DE LA UNIDAD DE TRANSPARENCIA DEL SECRETARIADO</w:t>
      </w:r>
    </w:p>
    <w:p w14:paraId="2FAFA6E5" w14:textId="77777777" w:rsidR="00D94050" w:rsidRPr="00D94050" w:rsidRDefault="00D94050" w:rsidP="00D94050">
      <w:pPr>
        <w:spacing w:after="0" w:line="240" w:lineRule="auto"/>
        <w:ind w:left="-567" w:right="-658"/>
        <w:rPr>
          <w:rFonts w:ascii="Gotham Bold" w:hAnsi="Gotham Bold"/>
          <w:b/>
          <w:bCs/>
          <w:iCs/>
          <w:sz w:val="16"/>
          <w:szCs w:val="16"/>
        </w:rPr>
      </w:pPr>
      <w:r w:rsidRPr="00D94050">
        <w:rPr>
          <w:rFonts w:ascii="Gotham Bold" w:hAnsi="Gotham Bold"/>
          <w:b/>
          <w:bCs/>
          <w:iCs/>
          <w:sz w:val="16"/>
          <w:szCs w:val="16"/>
        </w:rPr>
        <w:t>EJECUTIVO DEL SISTEMA ESTATAL DE SEGURIDAD PÚBLICA</w:t>
      </w:r>
    </w:p>
    <w:p w14:paraId="30741198" w14:textId="65100C4C" w:rsidR="00D94050" w:rsidRPr="00D94050" w:rsidRDefault="00D94050" w:rsidP="00D94050">
      <w:pPr>
        <w:spacing w:after="0" w:line="240" w:lineRule="auto"/>
        <w:ind w:left="-567" w:right="-658"/>
        <w:rPr>
          <w:sz w:val="16"/>
          <w:szCs w:val="16"/>
        </w:rPr>
      </w:pPr>
      <w:r w:rsidRPr="00D94050">
        <w:rPr>
          <w:rFonts w:ascii="Gotham Bold" w:hAnsi="Gotham Bold"/>
          <w:b/>
          <w:bCs/>
          <w:sz w:val="12"/>
          <w:szCs w:val="12"/>
        </w:rPr>
        <w:t>Elaboró: ALCM</w:t>
      </w:r>
    </w:p>
    <w:sectPr w:rsidR="00D94050" w:rsidRPr="00D94050" w:rsidSect="00D94050">
      <w:headerReference w:type="even" r:id="rId7"/>
      <w:headerReference w:type="default" r:id="rId8"/>
      <w:footerReference w:type="even" r:id="rId9"/>
      <w:footerReference w:type="default" r:id="rId10"/>
      <w:headerReference w:type="first" r:id="rId11"/>
      <w:footerReference w:type="first" r:id="rId12"/>
      <w:pgSz w:w="12242" w:h="15842" w:code="119"/>
      <w:pgMar w:top="2410" w:right="1701" w:bottom="241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5B8CE" w14:textId="77777777" w:rsidR="00970D40" w:rsidRDefault="00970D40">
      <w:pPr>
        <w:spacing w:after="0" w:line="240" w:lineRule="auto"/>
      </w:pPr>
      <w:r>
        <w:separator/>
      </w:r>
    </w:p>
  </w:endnote>
  <w:endnote w:type="continuationSeparator" w:id="0">
    <w:p w14:paraId="3FC07C7D" w14:textId="77777777" w:rsidR="00970D40" w:rsidRDefault="00970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C37DD" w14:textId="77777777" w:rsidR="0001210A" w:rsidRDefault="000121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89E1E" w14:textId="5868D51C" w:rsidR="0001210A" w:rsidRPr="00BA7858" w:rsidRDefault="00000000" w:rsidP="004030B9">
    <w:pPr>
      <w:jc w:val="center"/>
      <w:rPr>
        <w:rFonts w:ascii="Gotham" w:hAnsi="Gotham"/>
        <w:sz w:val="18"/>
        <w:szCs w:val="18"/>
      </w:rPr>
    </w:pPr>
    <w:r w:rsidRPr="00E45619">
      <w:rPr>
        <w:rFonts w:ascii="Montserrat" w:hAnsi="Montserrat"/>
        <w:b/>
        <w:sz w:val="18"/>
        <w:szCs w:val="18"/>
        <w:lang w:val="es-ES"/>
      </w:rPr>
      <w:t xml:space="preserve"> </w:t>
    </w:r>
  </w:p>
  <w:p w14:paraId="00D6D572" w14:textId="77777777" w:rsidR="0001210A" w:rsidRDefault="0001210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3676D" w14:textId="77777777" w:rsidR="0001210A" w:rsidRDefault="000121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D7535" w14:textId="77777777" w:rsidR="00970D40" w:rsidRDefault="00970D40">
      <w:pPr>
        <w:spacing w:after="0" w:line="240" w:lineRule="auto"/>
      </w:pPr>
      <w:r>
        <w:separator/>
      </w:r>
    </w:p>
  </w:footnote>
  <w:footnote w:type="continuationSeparator" w:id="0">
    <w:p w14:paraId="62212EBD" w14:textId="77777777" w:rsidR="00970D40" w:rsidRDefault="00970D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4BE2E" w14:textId="77777777" w:rsidR="0001210A" w:rsidRDefault="000121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56719" w14:textId="028CD3B8" w:rsidR="0001210A" w:rsidRDefault="00000000">
    <w:pPr>
      <w:pStyle w:val="Encabezado"/>
    </w:pPr>
    <w:sdt>
      <w:sdtPr>
        <w:id w:val="1416591419"/>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26F0FC36" wp14:editId="06087345">
                  <wp:simplePos x="0" y="0"/>
                  <wp:positionH relativeFrom="rightMargin">
                    <wp:align>center</wp:align>
                  </wp:positionH>
                  <wp:positionV relativeFrom="margin">
                    <wp:align>bottom</wp:align>
                  </wp:positionV>
                  <wp:extent cx="510540" cy="2183130"/>
                  <wp:effectExtent l="0" t="0" r="3810" b="0"/>
                  <wp:wrapNone/>
                  <wp:docPr id="142403269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BD765" w14:textId="77777777" w:rsidR="0001210A"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6F0FC36"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66BD765"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1ECE3" w14:textId="77777777" w:rsidR="0001210A" w:rsidRDefault="000121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00322"/>
    <w:multiLevelType w:val="hybridMultilevel"/>
    <w:tmpl w:val="D3B8E2BC"/>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113B24BC"/>
    <w:multiLevelType w:val="hybridMultilevel"/>
    <w:tmpl w:val="45D442E8"/>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2" w15:restartNumberingAfterBreak="0">
    <w:nsid w:val="4D2C4FF6"/>
    <w:multiLevelType w:val="hybridMultilevel"/>
    <w:tmpl w:val="C30E6F06"/>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num w:numId="1" w16cid:durableId="19674412">
    <w:abstractNumId w:val="1"/>
  </w:num>
  <w:num w:numId="2" w16cid:durableId="1113283141">
    <w:abstractNumId w:val="2"/>
  </w:num>
  <w:num w:numId="3" w16cid:durableId="1117991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050"/>
    <w:rsid w:val="0001210A"/>
    <w:rsid w:val="004030B9"/>
    <w:rsid w:val="006972E2"/>
    <w:rsid w:val="00970D40"/>
    <w:rsid w:val="00C37BFB"/>
    <w:rsid w:val="00D940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14CAC"/>
  <w15:chartTrackingRefBased/>
  <w15:docId w15:val="{A9DF1788-C834-4DD7-B9A1-A4E6FAA2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0"/>
    <w:pPr>
      <w:spacing w:line="259" w:lineRule="auto"/>
    </w:pPr>
    <w:rPr>
      <w:kern w:val="0"/>
      <w:sz w:val="22"/>
      <w:szCs w:val="22"/>
      <w14:ligatures w14:val="none"/>
    </w:rPr>
  </w:style>
  <w:style w:type="paragraph" w:styleId="Ttulo1">
    <w:name w:val="heading 1"/>
    <w:basedOn w:val="Normal"/>
    <w:next w:val="Normal"/>
    <w:link w:val="Ttulo1Car"/>
    <w:uiPriority w:val="9"/>
    <w:qFormat/>
    <w:rsid w:val="00D940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940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9405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9405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9405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9405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9405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9405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9405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405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9405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9405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9405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9405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9405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9405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9405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94050"/>
    <w:rPr>
      <w:rFonts w:eastAsiaTheme="majorEastAsia" w:cstheme="majorBidi"/>
      <w:color w:val="272727" w:themeColor="text1" w:themeTint="D8"/>
    </w:rPr>
  </w:style>
  <w:style w:type="paragraph" w:styleId="Ttulo">
    <w:name w:val="Title"/>
    <w:basedOn w:val="Normal"/>
    <w:next w:val="Normal"/>
    <w:link w:val="TtuloCar"/>
    <w:uiPriority w:val="10"/>
    <w:qFormat/>
    <w:rsid w:val="00D94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9405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9405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9405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94050"/>
    <w:pPr>
      <w:spacing w:before="160"/>
      <w:jc w:val="center"/>
    </w:pPr>
    <w:rPr>
      <w:i/>
      <w:iCs/>
      <w:color w:val="404040" w:themeColor="text1" w:themeTint="BF"/>
    </w:rPr>
  </w:style>
  <w:style w:type="character" w:customStyle="1" w:styleId="CitaCar">
    <w:name w:val="Cita Car"/>
    <w:basedOn w:val="Fuentedeprrafopredeter"/>
    <w:link w:val="Cita"/>
    <w:uiPriority w:val="29"/>
    <w:rsid w:val="00D94050"/>
    <w:rPr>
      <w:i/>
      <w:iCs/>
      <w:color w:val="404040" w:themeColor="text1" w:themeTint="BF"/>
    </w:rPr>
  </w:style>
  <w:style w:type="paragraph" w:styleId="Prrafodelista">
    <w:name w:val="List Paragraph"/>
    <w:basedOn w:val="Normal"/>
    <w:uiPriority w:val="34"/>
    <w:qFormat/>
    <w:rsid w:val="00D94050"/>
    <w:pPr>
      <w:ind w:left="720"/>
      <w:contextualSpacing/>
    </w:pPr>
  </w:style>
  <w:style w:type="character" w:styleId="nfasisintenso">
    <w:name w:val="Intense Emphasis"/>
    <w:basedOn w:val="Fuentedeprrafopredeter"/>
    <w:uiPriority w:val="21"/>
    <w:qFormat/>
    <w:rsid w:val="00D94050"/>
    <w:rPr>
      <w:i/>
      <w:iCs/>
      <w:color w:val="0F4761" w:themeColor="accent1" w:themeShade="BF"/>
    </w:rPr>
  </w:style>
  <w:style w:type="paragraph" w:styleId="Citadestacada">
    <w:name w:val="Intense Quote"/>
    <w:basedOn w:val="Normal"/>
    <w:next w:val="Normal"/>
    <w:link w:val="CitadestacadaCar"/>
    <w:uiPriority w:val="30"/>
    <w:qFormat/>
    <w:rsid w:val="00D940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94050"/>
    <w:rPr>
      <w:i/>
      <w:iCs/>
      <w:color w:val="0F4761" w:themeColor="accent1" w:themeShade="BF"/>
    </w:rPr>
  </w:style>
  <w:style w:type="character" w:styleId="Referenciaintensa">
    <w:name w:val="Intense Reference"/>
    <w:basedOn w:val="Fuentedeprrafopredeter"/>
    <w:uiPriority w:val="32"/>
    <w:qFormat/>
    <w:rsid w:val="00D94050"/>
    <w:rPr>
      <w:b/>
      <w:bCs/>
      <w:smallCaps/>
      <w:color w:val="0F4761" w:themeColor="accent1" w:themeShade="BF"/>
      <w:spacing w:val="5"/>
    </w:rPr>
  </w:style>
  <w:style w:type="paragraph" w:styleId="Encabezado">
    <w:name w:val="header"/>
    <w:basedOn w:val="Normal"/>
    <w:link w:val="EncabezadoCar"/>
    <w:uiPriority w:val="99"/>
    <w:unhideWhenUsed/>
    <w:rsid w:val="00D940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94050"/>
    <w:rPr>
      <w:kern w:val="0"/>
      <w:sz w:val="22"/>
      <w:szCs w:val="22"/>
      <w14:ligatures w14:val="none"/>
    </w:rPr>
  </w:style>
  <w:style w:type="paragraph" w:styleId="Piedepgina">
    <w:name w:val="footer"/>
    <w:basedOn w:val="Normal"/>
    <w:link w:val="PiedepginaCar"/>
    <w:uiPriority w:val="99"/>
    <w:unhideWhenUsed/>
    <w:rsid w:val="00D940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94050"/>
    <w:rPr>
      <w:kern w:val="0"/>
      <w:sz w:val="22"/>
      <w:szCs w:val="22"/>
      <w14:ligatures w14:val="none"/>
    </w:rPr>
  </w:style>
  <w:style w:type="paragraph" w:styleId="Sinespaciado">
    <w:name w:val="No Spacing"/>
    <w:uiPriority w:val="1"/>
    <w:qFormat/>
    <w:rsid w:val="00D94050"/>
    <w:pPr>
      <w:spacing w:after="0" w:line="240" w:lineRule="auto"/>
    </w:pPr>
    <w:rPr>
      <w:kern w:val="0"/>
      <w:sz w:val="22"/>
      <w:szCs w:val="22"/>
      <w14:ligatures w14:val="none"/>
    </w:rPr>
  </w:style>
  <w:style w:type="character" w:styleId="Hipervnculo">
    <w:name w:val="Hyperlink"/>
    <w:basedOn w:val="Fuentedeprrafopredeter"/>
    <w:uiPriority w:val="99"/>
    <w:unhideWhenUsed/>
    <w:rsid w:val="00D9405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1893</Words>
  <Characters>10415</Characters>
  <Application>Microsoft Office Word</Application>
  <DocSecurity>0</DocSecurity>
  <Lines>86</Lines>
  <Paragraphs>24</Paragraphs>
  <ScaleCrop>false</ScaleCrop>
  <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2</cp:revision>
  <dcterms:created xsi:type="dcterms:W3CDTF">2024-10-24T21:53:00Z</dcterms:created>
  <dcterms:modified xsi:type="dcterms:W3CDTF">2024-10-28T23:31:00Z</dcterms:modified>
</cp:coreProperties>
</file>